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0B2" w:rsidRDefault="00B8489C" w:rsidP="0084081D">
      <w:pPr>
        <w:spacing w:before="1" w:after="1747"/>
        <w:jc w:val="both"/>
      </w:pPr>
      <w:r>
        <w:rPr>
          <w:noProof/>
          <w:lang w:bidi="ar-SA"/>
        </w:rPr>
        <w:drawing>
          <wp:inline distT="0" distB="0" distL="0" distR="0">
            <wp:extent cx="5486400" cy="11334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1133475"/>
                    </a:xfrm>
                    <a:prstGeom prst="rect">
                      <a:avLst/>
                    </a:prstGeom>
                    <a:noFill/>
                    <a:ln>
                      <a:noFill/>
                    </a:ln>
                  </pic:spPr>
                </pic:pic>
              </a:graphicData>
            </a:graphic>
          </wp:inline>
        </w:drawing>
      </w:r>
    </w:p>
    <w:p w:rsidR="002C40B2" w:rsidRDefault="002C40B2" w:rsidP="0084081D">
      <w:pPr>
        <w:spacing w:before="1" w:after="1747"/>
        <w:jc w:val="both"/>
        <w:sectPr w:rsidR="002C40B2">
          <w:pgSz w:w="11909" w:h="16838"/>
          <w:pgMar w:top="1420" w:right="1702" w:bottom="1242" w:left="1507" w:header="720" w:footer="720" w:gutter="0"/>
          <w:cols w:space="720"/>
          <w:noEndnote/>
        </w:sectPr>
      </w:pPr>
    </w:p>
    <w:p w:rsidR="002C40B2" w:rsidRPr="00A405D6" w:rsidRDefault="00B8489C" w:rsidP="0084081D">
      <w:pPr>
        <w:spacing w:before="79" w:line="842" w:lineRule="exact"/>
        <w:jc w:val="both"/>
        <w:rPr>
          <w:rFonts w:ascii="Cambria" w:hAnsi="Cambria" w:cs="Cambria"/>
          <w:color w:val="2D74B5"/>
          <w:spacing w:val="-2"/>
          <w:sz w:val="79"/>
          <w:szCs w:val="79"/>
        </w:rPr>
      </w:pPr>
      <w:r>
        <w:rPr>
          <w:noProof/>
          <w:lang w:bidi="ar-SA"/>
        </w:rPr>
        <w:lastRenderedPageBreak/>
        <mc:AlternateContent>
          <mc:Choice Requires="wps">
            <w:drawing>
              <wp:anchor distT="0" distB="0" distL="0" distR="0" simplePos="0" relativeHeight="251658240" behindDoc="0" locked="0" layoutInCell="0" allowOverlap="1" wp14:anchorId="7BD04EB1" wp14:editId="0167E7D2">
                <wp:simplePos x="0" y="0"/>
                <wp:positionH relativeFrom="column">
                  <wp:posOffset>-73025</wp:posOffset>
                </wp:positionH>
                <wp:positionV relativeFrom="paragraph">
                  <wp:posOffset>0</wp:posOffset>
                </wp:positionV>
                <wp:extent cx="0" cy="5800725"/>
                <wp:effectExtent l="0" t="0" r="0" b="0"/>
                <wp:wrapSquare wrapText="bothSides"/>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00725"/>
                        </a:xfrm>
                        <a:prstGeom prst="line">
                          <a:avLst/>
                        </a:prstGeom>
                        <a:noFill/>
                        <a:ln w="30480">
                          <a:solidFill>
                            <a:srgbClr val="4F81B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0CF8C833" id="Line 2"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75pt,0" to="-5.75pt,4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" o:allowincell="f" strokecolor="#4f81bc" strokeweight="2.4pt">
                <w10:wrap type="square"/>
              </v:line>
            </w:pict>
          </mc:Fallback>
        </mc:AlternateContent>
      </w:r>
      <w:r>
        <w:rPr>
          <w:rFonts w:ascii="Cambria" w:hAnsi="Cambria"/>
          <w:color w:val="2D74B5"/>
          <w:spacing w:val="-2"/>
          <w:sz w:val="79"/>
        </w:rPr>
        <w:t>Estándares VI:</w:t>
      </w:r>
    </w:p>
    <w:p w:rsidR="004C1A22" w:rsidRDefault="002C40B2" w:rsidP="0084081D">
      <w:pPr>
        <w:spacing w:before="73" w:line="599" w:lineRule="exact"/>
        <w:jc w:val="both"/>
        <w:rPr>
          <w:rFonts w:ascii="Cambria" w:hAnsi="Cambria"/>
          <w:color w:val="2D74B5"/>
          <w:spacing w:val="-3"/>
          <w:sz w:val="55"/>
        </w:rPr>
      </w:pPr>
      <w:r>
        <w:rPr>
          <w:rFonts w:ascii="Cambria" w:hAnsi="Cambria"/>
          <w:color w:val="2D74B5"/>
          <w:spacing w:val="-3"/>
          <w:sz w:val="55"/>
        </w:rPr>
        <w:t xml:space="preserve">Los miembros </w:t>
      </w:r>
    </w:p>
    <w:p w:rsidR="002C40B2" w:rsidRPr="00A405D6" w:rsidRDefault="002C40B2" w:rsidP="0084081D">
      <w:pPr>
        <w:spacing w:before="73" w:line="599" w:lineRule="exact"/>
        <w:jc w:val="both"/>
        <w:rPr>
          <w:rFonts w:ascii="Cambria" w:hAnsi="Cambria" w:cs="Cambria"/>
          <w:color w:val="2D74B5"/>
          <w:spacing w:val="-3"/>
          <w:sz w:val="55"/>
          <w:szCs w:val="55"/>
        </w:rPr>
      </w:pPr>
      <w:r>
        <w:rPr>
          <w:rFonts w:ascii="Cambria" w:hAnsi="Cambria"/>
          <w:color w:val="2D74B5"/>
          <w:spacing w:val="-3"/>
          <w:sz w:val="55"/>
        </w:rPr>
        <w:t>no judiciales en</w:t>
      </w:r>
    </w:p>
    <w:p w:rsidR="002C40B2" w:rsidRDefault="002C40B2" w:rsidP="0084081D">
      <w:pPr>
        <w:spacing w:before="58" w:after="2520" w:line="597" w:lineRule="exact"/>
        <w:jc w:val="both"/>
        <w:rPr>
          <w:rFonts w:ascii="Cambria" w:hAnsi="Cambria" w:cs="Cambria"/>
          <w:color w:val="2D74B5"/>
          <w:spacing w:val="3"/>
          <w:sz w:val="55"/>
          <w:szCs w:val="55"/>
        </w:rPr>
      </w:pPr>
      <w:r>
        <w:rPr>
          <w:rFonts w:ascii="Cambria" w:hAnsi="Cambria"/>
          <w:color w:val="2D74B5"/>
          <w:spacing w:val="3"/>
          <w:sz w:val="55"/>
        </w:rPr>
        <w:t>la gobernanza judicial</w:t>
      </w:r>
    </w:p>
    <w:p w:rsidR="002C40B2" w:rsidRDefault="002C40B2" w:rsidP="0084081D">
      <w:pPr>
        <w:spacing w:before="67" w:line="852" w:lineRule="exact"/>
        <w:ind w:right="-561"/>
        <w:jc w:val="both"/>
        <w:rPr>
          <w:rFonts w:ascii="Cambria" w:hAnsi="Cambria" w:cs="Cambria"/>
          <w:color w:val="2D74B5"/>
          <w:spacing w:val="1"/>
          <w:sz w:val="79"/>
          <w:szCs w:val="79"/>
        </w:rPr>
      </w:pPr>
      <w:r>
        <w:rPr>
          <w:rFonts w:ascii="Cambria" w:hAnsi="Cambria"/>
          <w:color w:val="2D74B5"/>
          <w:spacing w:val="1"/>
          <w:sz w:val="79"/>
        </w:rPr>
        <w:t>Informe de la RECJ</w:t>
      </w:r>
    </w:p>
    <w:p w:rsidR="002C40B2" w:rsidRDefault="002C40B2" w:rsidP="0084081D">
      <w:pPr>
        <w:spacing w:before="84" w:after="2040" w:line="842" w:lineRule="exact"/>
        <w:jc w:val="both"/>
        <w:rPr>
          <w:rFonts w:ascii="Cambria" w:hAnsi="Cambria" w:cs="Cambria"/>
          <w:color w:val="2D74B5"/>
          <w:spacing w:val="-3"/>
          <w:sz w:val="79"/>
          <w:szCs w:val="79"/>
        </w:rPr>
      </w:pPr>
      <w:r>
        <w:rPr>
          <w:rFonts w:ascii="Cambria" w:hAnsi="Cambria"/>
          <w:color w:val="2D74B5"/>
          <w:spacing w:val="-3"/>
          <w:sz w:val="79"/>
        </w:rPr>
        <w:t>2015-2016</w:t>
      </w:r>
    </w:p>
    <w:p w:rsidR="002C40B2" w:rsidRDefault="00B8489C" w:rsidP="0084081D">
      <w:pPr>
        <w:spacing w:after="17"/>
        <w:ind w:left="2818" w:right="1810"/>
        <w:jc w:val="both"/>
      </w:pPr>
      <w:r>
        <w:rPr>
          <w:noProof/>
          <w:lang w:bidi="ar-SA"/>
        </w:rPr>
        <w:drawing>
          <wp:inline distT="0" distB="0" distL="0" distR="0" wp14:anchorId="0A351F03" wp14:editId="32F360A7">
            <wp:extent cx="809625" cy="5429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9625" cy="542925"/>
                    </a:xfrm>
                    <a:prstGeom prst="rect">
                      <a:avLst/>
                    </a:prstGeom>
                    <a:noFill/>
                    <a:ln>
                      <a:noFill/>
                    </a:ln>
                  </pic:spPr>
                </pic:pic>
              </a:graphicData>
            </a:graphic>
          </wp:inline>
        </w:drawing>
      </w:r>
    </w:p>
    <w:p w:rsidR="002C40B2" w:rsidRPr="00A405D6" w:rsidRDefault="002C40B2" w:rsidP="0084081D">
      <w:pPr>
        <w:spacing w:before="26" w:line="202" w:lineRule="exact"/>
        <w:jc w:val="both"/>
        <w:rPr>
          <w:rFonts w:ascii="Calibri" w:hAnsi="Calibri" w:cs="Calibri"/>
          <w:color w:val="365F91"/>
          <w:sz w:val="20"/>
          <w:szCs w:val="20"/>
        </w:rPr>
      </w:pPr>
      <w:r>
        <w:rPr>
          <w:rFonts w:ascii="Calibri" w:hAnsi="Calibri"/>
          <w:color w:val="365F91"/>
          <w:sz w:val="20"/>
        </w:rPr>
        <w:t xml:space="preserve">Cofinanciado por el Programa de Justicia de la </w:t>
      </w:r>
      <w:r w:rsidR="004C1A22">
        <w:rPr>
          <w:rFonts w:ascii="Calibri" w:hAnsi="Calibri"/>
          <w:color w:val="365F91"/>
          <w:sz w:val="20"/>
        </w:rPr>
        <w:t>U</w:t>
      </w:r>
      <w:r>
        <w:rPr>
          <w:rFonts w:ascii="Calibri" w:hAnsi="Calibri"/>
          <w:color w:val="365F91"/>
          <w:sz w:val="20"/>
        </w:rPr>
        <w:t>nión Europea</w:t>
      </w:r>
    </w:p>
    <w:p w:rsidR="002C40B2" w:rsidRPr="00A405D6" w:rsidRDefault="002C40B2" w:rsidP="0084081D">
      <w:pPr>
        <w:widowControl/>
        <w:kinsoku/>
        <w:overflowPunct/>
        <w:autoSpaceDE w:val="0"/>
        <w:autoSpaceDN w:val="0"/>
        <w:adjustRightInd w:val="0"/>
        <w:jc w:val="both"/>
        <w:textAlignment w:val="auto"/>
        <w:sectPr w:rsidR="002C40B2" w:rsidRPr="00A405D6">
          <w:type w:val="continuous"/>
          <w:pgSz w:w="11909" w:h="16838"/>
          <w:pgMar w:top="1420" w:right="3463" w:bottom="1242" w:left="2486" w:header="720" w:footer="720" w:gutter="0"/>
          <w:cols w:space="720"/>
          <w:noEndnote/>
        </w:sectPr>
      </w:pPr>
    </w:p>
    <w:p w:rsidR="002C40B2" w:rsidRPr="00A405D6" w:rsidRDefault="002C40B2" w:rsidP="0084081D">
      <w:pPr>
        <w:pBdr>
          <w:top w:val="single" w:sz="4" w:space="0" w:color="000000"/>
          <w:left w:val="single" w:sz="4" w:space="3" w:color="000000"/>
          <w:bottom w:val="single" w:sz="4" w:space="3" w:color="000000"/>
          <w:right w:val="single" w:sz="4" w:space="21" w:color="000000"/>
        </w:pBdr>
        <w:spacing w:line="309" w:lineRule="exact"/>
        <w:ind w:left="72" w:right="432"/>
        <w:jc w:val="both"/>
        <w:rPr>
          <w:rFonts w:ascii="Calibri" w:hAnsi="Calibri" w:cs="Calibri"/>
          <w:i/>
          <w:iCs/>
        </w:rPr>
      </w:pPr>
      <w:r>
        <w:rPr>
          <w:rFonts w:ascii="Calibri" w:hAnsi="Calibri"/>
          <w:i/>
        </w:rPr>
        <w:lastRenderedPageBreak/>
        <w:t xml:space="preserve">Esta publicación se ha redactado con el apoyo financiero del Programa </w:t>
      </w:r>
      <w:r w:rsidR="004C1A22">
        <w:rPr>
          <w:rFonts w:ascii="Calibri" w:hAnsi="Calibri"/>
          <w:i/>
        </w:rPr>
        <w:t xml:space="preserve">de </w:t>
      </w:r>
      <w:r>
        <w:rPr>
          <w:rFonts w:ascii="Calibri" w:hAnsi="Calibri"/>
          <w:i/>
        </w:rPr>
        <w:t xml:space="preserve">Justicia de la Unión Europea. Los contenidos de esta publicación son responsabilidad exclusiva de la RECJ y no pueden considerarse </w:t>
      </w:r>
      <w:r w:rsidR="004C1A22">
        <w:rPr>
          <w:rFonts w:ascii="Calibri" w:hAnsi="Calibri"/>
          <w:i/>
        </w:rPr>
        <w:t>en</w:t>
      </w:r>
      <w:r>
        <w:rPr>
          <w:rFonts w:ascii="Calibri" w:hAnsi="Calibri"/>
          <w:i/>
        </w:rPr>
        <w:t xml:space="preserve"> ningún modo puntos de vista de la Comisión Europea.</w:t>
      </w:r>
    </w:p>
    <w:p w:rsidR="002C40B2" w:rsidRPr="00A405D6" w:rsidRDefault="002C40B2" w:rsidP="0084081D">
      <w:pPr>
        <w:spacing w:before="614" w:line="225" w:lineRule="exact"/>
        <w:ind w:left="9072"/>
        <w:jc w:val="both"/>
        <w:rPr>
          <w:rFonts w:ascii="Calibri" w:hAnsi="Calibri" w:cs="Calibri"/>
          <w:sz w:val="22"/>
          <w:szCs w:val="22"/>
        </w:rPr>
      </w:pPr>
      <w:r>
        <w:rPr>
          <w:rFonts w:ascii="Calibri" w:hAnsi="Calibri"/>
          <w:sz w:val="22"/>
        </w:rPr>
        <w:t>2</w:t>
      </w:r>
    </w:p>
    <w:p w:rsidR="002C40B2" w:rsidRPr="00A405D6" w:rsidRDefault="002C40B2" w:rsidP="0084081D">
      <w:pPr>
        <w:spacing w:before="44" w:line="226" w:lineRule="exact"/>
        <w:ind w:left="72"/>
        <w:jc w:val="both"/>
        <w:rPr>
          <w:rFonts w:ascii="Calibri" w:hAnsi="Calibri" w:cs="Calibri"/>
          <w:sz w:val="22"/>
          <w:szCs w:val="22"/>
        </w:rPr>
      </w:pPr>
      <w:r>
        <w:rPr>
          <w:rFonts w:ascii="Calibri" w:hAnsi="Calibri"/>
          <w:sz w:val="22"/>
        </w:rPr>
        <w:t>Proyecto de la RECJ sobre los miembros no judiciales en la gobernanza judicial 2015-2016 - aprobado por la</w:t>
      </w:r>
      <w:r w:rsidR="00A83A5F">
        <w:rPr>
          <w:rFonts w:ascii="Calibri" w:hAnsi="Calibri"/>
          <w:sz w:val="22"/>
        </w:rPr>
        <w:t xml:space="preserve"> </w:t>
      </w:r>
      <w:r>
        <w:rPr>
          <w:rFonts w:ascii="Calibri" w:hAnsi="Calibri"/>
          <w:sz w:val="22"/>
        </w:rPr>
        <w:t>Asamblea General el 3 de junio de 2016</w:t>
      </w:r>
    </w:p>
    <w:p w:rsidR="002C40B2" w:rsidRPr="0084081D" w:rsidRDefault="003D3904" w:rsidP="0084081D">
      <w:pPr>
        <w:spacing w:before="43" w:line="226" w:lineRule="exact"/>
        <w:ind w:left="72"/>
        <w:jc w:val="both"/>
        <w:rPr>
          <w:rFonts w:ascii="Calibri" w:hAnsi="Calibri" w:cs="Calibri"/>
          <w:sz w:val="22"/>
          <w:szCs w:val="22"/>
          <w:lang w:val="en-US"/>
        </w:rPr>
      </w:pPr>
      <w:hyperlink r:id="rId8">
        <w:r w:rsidR="002C40B2" w:rsidRPr="0084081D">
          <w:rPr>
            <w:rFonts w:ascii="Calibri" w:hAnsi="Calibri"/>
            <w:color w:val="0000FF"/>
            <w:sz w:val="22"/>
            <w:u w:val="single"/>
            <w:lang w:val="en-US"/>
          </w:rPr>
          <w:t>www.encj.eu</w:t>
        </w:r>
      </w:hyperlink>
    </w:p>
    <w:p w:rsidR="002C40B2" w:rsidRPr="0084081D" w:rsidRDefault="002C40B2" w:rsidP="0084081D">
      <w:pPr>
        <w:spacing w:before="42" w:line="226" w:lineRule="exact"/>
        <w:ind w:left="72"/>
        <w:jc w:val="both"/>
        <w:rPr>
          <w:rFonts w:ascii="Calibri" w:hAnsi="Calibri" w:cs="Calibri"/>
          <w:sz w:val="22"/>
          <w:szCs w:val="22"/>
          <w:lang w:val="en-US"/>
        </w:rPr>
      </w:pPr>
      <w:proofErr w:type="spellStart"/>
      <w:r w:rsidRPr="0084081D">
        <w:rPr>
          <w:rFonts w:ascii="Calibri" w:hAnsi="Calibri"/>
          <w:sz w:val="22"/>
          <w:lang w:val="en-US"/>
        </w:rPr>
        <w:t>office@encj.euENCJ</w:t>
      </w:r>
      <w:proofErr w:type="spellEnd"/>
      <w:r w:rsidRPr="0084081D">
        <w:rPr>
          <w:rFonts w:ascii="Calibri" w:hAnsi="Calibri"/>
          <w:sz w:val="22"/>
          <w:lang w:val="en-US"/>
        </w:rPr>
        <w:t xml:space="preserve"> report</w:t>
      </w:r>
    </w:p>
    <w:p w:rsidR="002C40B2" w:rsidRPr="0084081D" w:rsidRDefault="002C40B2" w:rsidP="0084081D">
      <w:pPr>
        <w:widowControl/>
        <w:kinsoku/>
        <w:overflowPunct/>
        <w:autoSpaceDE w:val="0"/>
        <w:autoSpaceDN w:val="0"/>
        <w:adjustRightInd w:val="0"/>
        <w:jc w:val="both"/>
        <w:textAlignment w:val="auto"/>
        <w:rPr>
          <w:lang w:val="en-US"/>
        </w:rPr>
        <w:sectPr w:rsidR="002C40B2" w:rsidRPr="0084081D">
          <w:pgSz w:w="11909" w:h="16838"/>
          <w:pgMar w:top="13194" w:right="1193" w:bottom="322" w:left="1296" w:header="720" w:footer="720" w:gutter="0"/>
          <w:cols w:space="720"/>
          <w:noEndnote/>
        </w:sectPr>
      </w:pPr>
    </w:p>
    <w:p w:rsidR="00A405D6" w:rsidRDefault="00A405D6" w:rsidP="0084081D">
      <w:pPr>
        <w:spacing w:before="39" w:line="352" w:lineRule="exact"/>
        <w:ind w:left="144"/>
        <w:jc w:val="both"/>
        <w:rPr>
          <w:rFonts w:ascii="Calibri" w:hAnsi="Calibri" w:cs="Calibri"/>
          <w:b/>
          <w:bCs/>
          <w:sz w:val="32"/>
          <w:szCs w:val="32"/>
        </w:rPr>
      </w:pPr>
      <w:r>
        <w:rPr>
          <w:rFonts w:ascii="Calibri" w:hAnsi="Calibri"/>
          <w:b/>
          <w:sz w:val="32"/>
        </w:rPr>
        <w:lastRenderedPageBreak/>
        <w:t>(…)</w:t>
      </w:r>
    </w:p>
    <w:p w:rsidR="00A405D6" w:rsidRDefault="00A405D6" w:rsidP="0084081D">
      <w:pPr>
        <w:spacing w:before="43" w:line="352" w:lineRule="exact"/>
        <w:ind w:left="144"/>
        <w:jc w:val="both"/>
        <w:rPr>
          <w:rFonts w:ascii="Calibri" w:hAnsi="Calibri" w:cs="Calibri"/>
          <w:b/>
          <w:bCs/>
          <w:color w:val="345A89"/>
          <w:spacing w:val="-1"/>
          <w:sz w:val="32"/>
          <w:szCs w:val="32"/>
        </w:rPr>
      </w:pPr>
    </w:p>
    <w:p w:rsidR="002C40B2" w:rsidRPr="00A405D6" w:rsidRDefault="002C40B2" w:rsidP="0084081D">
      <w:pPr>
        <w:spacing w:before="43" w:line="352" w:lineRule="exact"/>
        <w:ind w:left="144"/>
        <w:jc w:val="both"/>
        <w:rPr>
          <w:rFonts w:ascii="Calibri" w:hAnsi="Calibri" w:cs="Calibri"/>
          <w:b/>
          <w:bCs/>
          <w:color w:val="345A89"/>
          <w:spacing w:val="-1"/>
          <w:sz w:val="32"/>
          <w:szCs w:val="32"/>
        </w:rPr>
      </w:pPr>
      <w:r>
        <w:rPr>
          <w:rFonts w:ascii="Calibri" w:hAnsi="Calibri"/>
          <w:b/>
          <w:color w:val="345A89"/>
          <w:spacing w:val="-1"/>
          <w:sz w:val="32"/>
        </w:rPr>
        <w:t>Definiciones</w:t>
      </w:r>
    </w:p>
    <w:p w:rsidR="002C40B2" w:rsidRPr="00A405D6" w:rsidRDefault="002C40B2" w:rsidP="0084081D">
      <w:pPr>
        <w:spacing w:before="147" w:line="439" w:lineRule="exact"/>
        <w:ind w:left="144" w:right="144" w:firstLine="864"/>
        <w:jc w:val="both"/>
        <w:rPr>
          <w:rFonts w:ascii="Calibri" w:hAnsi="Calibri" w:cs="Calibri"/>
          <w:sz w:val="25"/>
          <w:szCs w:val="25"/>
        </w:rPr>
      </w:pPr>
      <w:r>
        <w:rPr>
          <w:rFonts w:ascii="Calibri" w:hAnsi="Calibri"/>
          <w:sz w:val="25"/>
        </w:rPr>
        <w:t xml:space="preserve">Este informe </w:t>
      </w:r>
      <w:r w:rsidR="00A83A5F">
        <w:rPr>
          <w:rFonts w:ascii="Calibri" w:hAnsi="Calibri"/>
          <w:sz w:val="25"/>
        </w:rPr>
        <w:t>analiz</w:t>
      </w:r>
      <w:r>
        <w:rPr>
          <w:rFonts w:ascii="Calibri" w:hAnsi="Calibri"/>
          <w:sz w:val="25"/>
        </w:rPr>
        <w:t>a el papel que deben desempeñar los miembros no judiciales (llamados en ocasiones “miembros legos”) en la gobernanza judicial. En este informe, las expresiones “miembros no judiciales” y “gobernanza judicial” deben entenderse con los siguientes significados:</w:t>
      </w:r>
    </w:p>
    <w:p w:rsidR="002C40B2" w:rsidRPr="00A405D6" w:rsidRDefault="002C40B2" w:rsidP="0084081D">
      <w:pPr>
        <w:spacing w:before="121" w:line="439" w:lineRule="exact"/>
        <w:ind w:left="144" w:right="144" w:firstLine="864"/>
        <w:jc w:val="both"/>
        <w:rPr>
          <w:rFonts w:ascii="Calibri" w:hAnsi="Calibri" w:cs="Calibri"/>
          <w:sz w:val="25"/>
          <w:szCs w:val="25"/>
        </w:rPr>
      </w:pPr>
      <w:r>
        <w:rPr>
          <w:rFonts w:ascii="Calibri" w:hAnsi="Calibri"/>
          <w:sz w:val="25"/>
        </w:rPr>
        <w:t>“</w:t>
      </w:r>
      <w:r>
        <w:rPr>
          <w:rFonts w:ascii="Calibri" w:hAnsi="Calibri"/>
          <w:b/>
        </w:rPr>
        <w:t>Miembros no judiciales</w:t>
      </w:r>
      <w:r>
        <w:rPr>
          <w:rFonts w:ascii="Calibri" w:hAnsi="Calibri"/>
          <w:sz w:val="25"/>
        </w:rPr>
        <w:t>” se refiere a las personas que no son jueces ni fiscales y participan en los consejos de Justicia y en otros órganos relevantes.</w:t>
      </w:r>
    </w:p>
    <w:p w:rsidR="002C40B2" w:rsidRPr="00A405D6" w:rsidRDefault="002C40B2" w:rsidP="0084081D">
      <w:pPr>
        <w:spacing w:before="123" w:line="439" w:lineRule="exact"/>
        <w:ind w:left="144" w:right="144" w:firstLine="864"/>
        <w:jc w:val="both"/>
        <w:rPr>
          <w:rFonts w:ascii="Calibri" w:hAnsi="Calibri" w:cs="Calibri"/>
          <w:sz w:val="25"/>
          <w:szCs w:val="25"/>
        </w:rPr>
      </w:pPr>
      <w:r>
        <w:rPr>
          <w:rFonts w:ascii="Calibri" w:hAnsi="Calibri"/>
          <w:sz w:val="25"/>
        </w:rPr>
        <w:t>“</w:t>
      </w:r>
      <w:r>
        <w:rPr>
          <w:rFonts w:ascii="Calibri" w:hAnsi="Calibri"/>
          <w:b/>
        </w:rPr>
        <w:t>Gobernanza judicial</w:t>
      </w:r>
      <w:r>
        <w:rPr>
          <w:rFonts w:ascii="Calibri" w:hAnsi="Calibri"/>
          <w:sz w:val="25"/>
        </w:rPr>
        <w:t>” se refiere a la participación de los miembros no judiciales en actividades de los consejos de Justicia y otros órganos relevantes, incluidas las actividades relativas a los nombramientos y la promoción judiciales, así como los procedimientos disciplinarios y de reclamación.</w:t>
      </w:r>
    </w:p>
    <w:p w:rsidR="002C40B2" w:rsidRPr="00A405D6" w:rsidRDefault="002C40B2" w:rsidP="0084081D">
      <w:pPr>
        <w:spacing w:before="360" w:line="352" w:lineRule="exact"/>
        <w:ind w:left="142"/>
        <w:jc w:val="both"/>
        <w:rPr>
          <w:rFonts w:ascii="Calibri" w:hAnsi="Calibri" w:cs="Calibri"/>
          <w:b/>
          <w:bCs/>
          <w:color w:val="345A89"/>
          <w:spacing w:val="-2"/>
          <w:sz w:val="32"/>
          <w:szCs w:val="32"/>
        </w:rPr>
      </w:pPr>
      <w:r>
        <w:rPr>
          <w:rFonts w:ascii="Calibri" w:hAnsi="Calibri"/>
          <w:b/>
          <w:color w:val="345A89"/>
          <w:spacing w:val="-2"/>
          <w:sz w:val="32"/>
        </w:rPr>
        <w:t>Introducción</w:t>
      </w:r>
    </w:p>
    <w:p w:rsidR="002C40B2" w:rsidRPr="00A405D6" w:rsidRDefault="002C40B2" w:rsidP="0084081D">
      <w:pPr>
        <w:spacing w:before="145" w:line="439" w:lineRule="exact"/>
        <w:ind w:left="144" w:right="144" w:firstLine="864"/>
        <w:jc w:val="both"/>
        <w:rPr>
          <w:rFonts w:ascii="Calibri" w:hAnsi="Calibri" w:cs="Calibri"/>
          <w:sz w:val="25"/>
          <w:szCs w:val="25"/>
        </w:rPr>
      </w:pPr>
      <w:r>
        <w:rPr>
          <w:rFonts w:ascii="Calibri" w:hAnsi="Calibri"/>
          <w:sz w:val="25"/>
        </w:rPr>
        <w:t xml:space="preserve">El Equipo de Proyecto sobre el </w:t>
      </w:r>
      <w:r w:rsidR="00A83A5F">
        <w:rPr>
          <w:rFonts w:ascii="Calibri" w:hAnsi="Calibri"/>
          <w:sz w:val="25"/>
        </w:rPr>
        <w:t>“</w:t>
      </w:r>
      <w:r>
        <w:rPr>
          <w:rFonts w:ascii="Calibri" w:hAnsi="Calibri"/>
          <w:sz w:val="25"/>
        </w:rPr>
        <w:t>Desarrollo de estándares judiciales mínimos VI: Los miembros no judiciales en la gobernanza judicial</w:t>
      </w:r>
      <w:r w:rsidR="00A83A5F">
        <w:rPr>
          <w:rFonts w:ascii="Calibri" w:hAnsi="Calibri"/>
          <w:sz w:val="25"/>
        </w:rPr>
        <w:t>”</w:t>
      </w:r>
      <w:r>
        <w:rPr>
          <w:rFonts w:ascii="Calibri" w:hAnsi="Calibri"/>
          <w:sz w:val="25"/>
        </w:rPr>
        <w:t xml:space="preserve"> fue creado por la Red Europea de Consejos de Justicia (RECJ) en septiembre de 2015 a raíz del plan de trabajo de la RECJ aprobado por la Asamblea General celebrada en La Haya del 3 al 5 de junio de 2015.</w:t>
      </w:r>
    </w:p>
    <w:p w:rsidR="002C40B2" w:rsidRPr="00A405D6" w:rsidRDefault="002C40B2" w:rsidP="0084081D">
      <w:pPr>
        <w:spacing w:before="123" w:line="439" w:lineRule="exact"/>
        <w:ind w:left="144" w:right="144" w:firstLine="864"/>
        <w:jc w:val="both"/>
        <w:rPr>
          <w:rFonts w:ascii="Calibri" w:hAnsi="Calibri" w:cs="Calibri"/>
          <w:sz w:val="25"/>
          <w:szCs w:val="25"/>
        </w:rPr>
      </w:pPr>
      <w:r>
        <w:rPr>
          <w:rFonts w:ascii="Calibri" w:hAnsi="Calibri"/>
          <w:sz w:val="25"/>
        </w:rPr>
        <w:t>El Equipo de Proyecto se creó como continuación del trabajo llevado a cabo por cinco antiguos Equipos de Trabajo de Proyecto de la RECJ sobre el «Desarrollo de estándares judiciales mínimos</w:t>
      </w:r>
      <w:r w:rsidR="00A83A5F">
        <w:rPr>
          <w:rFonts w:ascii="Calibri" w:hAnsi="Calibri"/>
          <w:sz w:val="25"/>
        </w:rPr>
        <w:t>”</w:t>
      </w:r>
      <w:r>
        <w:rPr>
          <w:rFonts w:ascii="Calibri" w:hAnsi="Calibri"/>
          <w:sz w:val="25"/>
        </w:rPr>
        <w:t>. Los siguientes informes ya han sido publicados:</w:t>
      </w:r>
    </w:p>
    <w:p w:rsidR="002C40B2" w:rsidRPr="00A405D6" w:rsidRDefault="002C40B2" w:rsidP="0084081D">
      <w:pPr>
        <w:spacing w:before="121" w:line="439" w:lineRule="exact"/>
        <w:ind w:left="993" w:right="144" w:hanging="432"/>
        <w:jc w:val="both"/>
        <w:rPr>
          <w:rFonts w:ascii="Calibri" w:hAnsi="Calibri" w:cs="Calibri"/>
          <w:sz w:val="25"/>
          <w:szCs w:val="25"/>
        </w:rPr>
      </w:pPr>
      <w:r>
        <w:rPr>
          <w:rFonts w:ascii="Arial" w:hAnsi="Arial"/>
        </w:rPr>
        <w:t xml:space="preserve">- </w:t>
      </w:r>
      <w:r w:rsidR="005E78D3">
        <w:rPr>
          <w:rFonts w:ascii="Arial" w:hAnsi="Arial"/>
        </w:rPr>
        <w:tab/>
      </w:r>
      <w:r>
        <w:rPr>
          <w:rFonts w:ascii="Calibri" w:hAnsi="Calibri"/>
          <w:sz w:val="25"/>
        </w:rPr>
        <w:t>Desarrollo de estándares judiciales mínimos I [2010-2011] (Contratación, selección, nombramiento y promoción, formación y ética judicial),</w:t>
      </w:r>
    </w:p>
    <w:p w:rsidR="002C40B2" w:rsidRPr="00A405D6" w:rsidRDefault="002C40B2" w:rsidP="0084081D">
      <w:pPr>
        <w:spacing w:before="3" w:line="439" w:lineRule="exact"/>
        <w:ind w:left="993" w:right="144" w:hanging="432"/>
        <w:jc w:val="both"/>
        <w:rPr>
          <w:rFonts w:ascii="Calibri" w:hAnsi="Calibri" w:cs="Calibri"/>
          <w:sz w:val="25"/>
          <w:szCs w:val="25"/>
        </w:rPr>
      </w:pPr>
      <w:r>
        <w:rPr>
          <w:rFonts w:ascii="Arial" w:hAnsi="Arial"/>
        </w:rPr>
        <w:t xml:space="preserve">- </w:t>
      </w:r>
      <w:r w:rsidR="005E78D3">
        <w:rPr>
          <w:rFonts w:ascii="Arial" w:hAnsi="Arial"/>
        </w:rPr>
        <w:tab/>
      </w:r>
      <w:r>
        <w:rPr>
          <w:rFonts w:ascii="Calibri" w:hAnsi="Calibri"/>
          <w:sz w:val="25"/>
        </w:rPr>
        <w:t>Desarrollo de estándares judiciales mínimos II [2011-2012] (Indicadores de estándares mínimos relativos a la contratación, selección, nombramiento y promoción de los miembros del poder judicial),</w:t>
      </w:r>
    </w:p>
    <w:p w:rsidR="002C40B2" w:rsidRPr="00A405D6" w:rsidRDefault="002C40B2" w:rsidP="0084081D">
      <w:pPr>
        <w:spacing w:before="170" w:line="292" w:lineRule="exact"/>
        <w:ind w:left="993" w:hanging="432"/>
        <w:jc w:val="both"/>
        <w:rPr>
          <w:rFonts w:ascii="Calibri" w:hAnsi="Calibri" w:cs="Calibri"/>
          <w:spacing w:val="-3"/>
          <w:sz w:val="25"/>
          <w:szCs w:val="25"/>
        </w:rPr>
      </w:pPr>
      <w:r>
        <w:rPr>
          <w:rFonts w:ascii="Arial" w:hAnsi="Arial"/>
          <w:spacing w:val="14"/>
        </w:rPr>
        <w:t xml:space="preserve">- </w:t>
      </w:r>
      <w:r w:rsidR="005E78D3">
        <w:rPr>
          <w:rFonts w:ascii="Arial" w:hAnsi="Arial"/>
          <w:spacing w:val="14"/>
        </w:rPr>
        <w:tab/>
      </w:r>
      <w:r>
        <w:rPr>
          <w:rFonts w:ascii="Calibri" w:hAnsi="Calibri"/>
          <w:spacing w:val="14"/>
          <w:sz w:val="25"/>
        </w:rPr>
        <w:t>Desarrollo de estándares judiciales mínimos III [2012-2013] (Evaluación del</w:t>
      </w:r>
      <w:r w:rsidR="005E78D3">
        <w:rPr>
          <w:rFonts w:ascii="Calibri" w:hAnsi="Calibri"/>
          <w:spacing w:val="14"/>
          <w:sz w:val="25"/>
        </w:rPr>
        <w:t xml:space="preserve"> </w:t>
      </w:r>
      <w:r>
        <w:rPr>
          <w:rFonts w:ascii="Calibri" w:hAnsi="Calibri"/>
          <w:spacing w:val="-3"/>
          <w:sz w:val="25"/>
        </w:rPr>
        <w:t>desempeño profesional y la inamovilidad de los miembros del poder judicial),</w:t>
      </w:r>
    </w:p>
    <w:p w:rsidR="002C40B2" w:rsidRPr="00A405D6" w:rsidRDefault="002C40B2" w:rsidP="0084081D">
      <w:pPr>
        <w:spacing w:before="57" w:line="225" w:lineRule="exact"/>
        <w:ind w:right="90"/>
        <w:jc w:val="right"/>
        <w:rPr>
          <w:rFonts w:ascii="Calibri" w:hAnsi="Calibri" w:cs="Calibri"/>
          <w:sz w:val="22"/>
          <w:szCs w:val="22"/>
        </w:rPr>
      </w:pPr>
      <w:r>
        <w:rPr>
          <w:rFonts w:ascii="Calibri" w:hAnsi="Calibri"/>
          <w:sz w:val="22"/>
        </w:rPr>
        <w:t>4</w:t>
      </w:r>
    </w:p>
    <w:p w:rsidR="002C40B2" w:rsidRPr="00A405D6" w:rsidRDefault="002C40B2" w:rsidP="0084081D">
      <w:pPr>
        <w:spacing w:before="44" w:line="226" w:lineRule="exact"/>
        <w:ind w:left="144"/>
        <w:jc w:val="both"/>
        <w:rPr>
          <w:rFonts w:ascii="Calibri" w:hAnsi="Calibri" w:cs="Calibri"/>
          <w:sz w:val="22"/>
          <w:szCs w:val="22"/>
        </w:rPr>
      </w:pPr>
      <w:r>
        <w:rPr>
          <w:rFonts w:ascii="Calibri" w:hAnsi="Calibri"/>
          <w:sz w:val="22"/>
        </w:rPr>
        <w:t>Proyecto de la RECJ sobre los miembros no judiciales en la gobernanza judicial 2015-2016 - aprobado por la</w:t>
      </w:r>
      <w:r w:rsidR="00236B23">
        <w:rPr>
          <w:rFonts w:ascii="Calibri" w:hAnsi="Calibri"/>
          <w:sz w:val="22"/>
        </w:rPr>
        <w:t xml:space="preserve"> </w:t>
      </w:r>
      <w:r>
        <w:rPr>
          <w:rFonts w:ascii="Calibri" w:hAnsi="Calibri"/>
          <w:sz w:val="22"/>
        </w:rPr>
        <w:t>Asamblea General el 3 de junio de 2016</w:t>
      </w:r>
    </w:p>
    <w:p w:rsidR="002C40B2" w:rsidRPr="0084081D" w:rsidRDefault="003D3904" w:rsidP="0084081D">
      <w:pPr>
        <w:spacing w:before="43" w:line="226" w:lineRule="exact"/>
        <w:ind w:left="144"/>
        <w:jc w:val="both"/>
        <w:rPr>
          <w:rFonts w:ascii="Calibri" w:hAnsi="Calibri" w:cs="Calibri"/>
          <w:sz w:val="22"/>
          <w:szCs w:val="22"/>
          <w:lang w:val="en-US"/>
        </w:rPr>
      </w:pPr>
      <w:hyperlink r:id="rId9">
        <w:r w:rsidR="002C40B2" w:rsidRPr="0084081D">
          <w:rPr>
            <w:rFonts w:ascii="Calibri" w:hAnsi="Calibri"/>
            <w:color w:val="0000FF"/>
            <w:sz w:val="22"/>
            <w:u w:val="single"/>
            <w:lang w:val="en-US"/>
          </w:rPr>
          <w:t>www.encj.eu</w:t>
        </w:r>
      </w:hyperlink>
    </w:p>
    <w:p w:rsidR="002C40B2" w:rsidRPr="0084081D" w:rsidRDefault="002C40B2" w:rsidP="0084081D">
      <w:pPr>
        <w:spacing w:before="42" w:line="226" w:lineRule="exact"/>
        <w:ind w:left="144"/>
        <w:jc w:val="both"/>
        <w:rPr>
          <w:rFonts w:ascii="Calibri" w:hAnsi="Calibri" w:cs="Calibri"/>
          <w:sz w:val="22"/>
          <w:szCs w:val="22"/>
          <w:lang w:val="en-US"/>
        </w:rPr>
      </w:pPr>
      <w:proofErr w:type="spellStart"/>
      <w:r w:rsidRPr="0084081D">
        <w:rPr>
          <w:rFonts w:ascii="Calibri" w:hAnsi="Calibri"/>
          <w:sz w:val="22"/>
          <w:lang w:val="en-US"/>
        </w:rPr>
        <w:t>office@encj.euENCJ</w:t>
      </w:r>
      <w:proofErr w:type="spellEnd"/>
      <w:r w:rsidRPr="0084081D">
        <w:rPr>
          <w:rFonts w:ascii="Calibri" w:hAnsi="Calibri"/>
          <w:sz w:val="22"/>
          <w:lang w:val="en-US"/>
        </w:rPr>
        <w:t xml:space="preserve"> report</w:t>
      </w:r>
    </w:p>
    <w:p w:rsidR="002C40B2" w:rsidRPr="0084081D" w:rsidRDefault="002C40B2" w:rsidP="0084081D">
      <w:pPr>
        <w:widowControl/>
        <w:kinsoku/>
        <w:overflowPunct/>
        <w:autoSpaceDE w:val="0"/>
        <w:autoSpaceDN w:val="0"/>
        <w:adjustRightInd w:val="0"/>
        <w:jc w:val="both"/>
        <w:textAlignment w:val="auto"/>
        <w:rPr>
          <w:lang w:val="en-US"/>
        </w:rPr>
        <w:sectPr w:rsidR="002C40B2" w:rsidRPr="0084081D" w:rsidSect="00236B23">
          <w:pgSz w:w="11909" w:h="16838"/>
          <w:pgMar w:top="1418" w:right="1217" w:bottom="322" w:left="1272" w:header="720" w:footer="720" w:gutter="0"/>
          <w:cols w:space="720"/>
          <w:noEndnote/>
        </w:sectPr>
      </w:pPr>
    </w:p>
    <w:p w:rsidR="002C40B2" w:rsidRPr="00A405D6" w:rsidRDefault="005E78D3" w:rsidP="0084081D">
      <w:pPr>
        <w:spacing w:before="179" w:line="400" w:lineRule="exact"/>
        <w:ind w:left="993" w:hanging="426"/>
        <w:jc w:val="both"/>
        <w:rPr>
          <w:rFonts w:ascii="Calibri" w:hAnsi="Calibri" w:cs="Calibri"/>
          <w:sz w:val="25"/>
          <w:szCs w:val="25"/>
        </w:rPr>
      </w:pPr>
      <w:r>
        <w:rPr>
          <w:rFonts w:ascii="Arial" w:hAnsi="Arial"/>
        </w:rPr>
        <w:lastRenderedPageBreak/>
        <w:t>-</w:t>
      </w:r>
      <w:r>
        <w:rPr>
          <w:rFonts w:ascii="Arial" w:hAnsi="Arial"/>
        </w:rPr>
        <w:tab/>
      </w:r>
      <w:r w:rsidR="002C40B2">
        <w:rPr>
          <w:rFonts w:ascii="Calibri" w:hAnsi="Calibri"/>
          <w:sz w:val="25"/>
        </w:rPr>
        <w:t>Desarrollo de estándares judiciales mínimos IV [2013-2014] (Reparto de asuntos),</w:t>
      </w:r>
    </w:p>
    <w:p w:rsidR="002C40B2" w:rsidRPr="00A405D6" w:rsidRDefault="005E78D3" w:rsidP="0084081D">
      <w:pPr>
        <w:spacing w:line="400" w:lineRule="exact"/>
        <w:ind w:left="993" w:right="144" w:hanging="426"/>
        <w:jc w:val="both"/>
        <w:rPr>
          <w:rFonts w:ascii="Calibri" w:hAnsi="Calibri" w:cs="Calibri"/>
          <w:sz w:val="25"/>
          <w:szCs w:val="25"/>
        </w:rPr>
      </w:pPr>
      <w:r>
        <w:rPr>
          <w:rFonts w:ascii="Arial" w:hAnsi="Arial"/>
        </w:rPr>
        <w:t>-</w:t>
      </w:r>
      <w:r>
        <w:rPr>
          <w:rFonts w:ascii="Arial" w:hAnsi="Arial"/>
        </w:rPr>
        <w:tab/>
      </w:r>
      <w:r w:rsidR="002C40B2">
        <w:rPr>
          <w:rFonts w:ascii="Calibri" w:hAnsi="Calibri"/>
          <w:sz w:val="25"/>
        </w:rPr>
        <w:t>Desarrollo de estándares judiciales mínimos V [2014-2015] (Procedimientos disciplinarios y responsabilidad de los jueces).</w:t>
      </w:r>
    </w:p>
    <w:p w:rsidR="002C40B2" w:rsidRPr="00A405D6" w:rsidRDefault="002C40B2" w:rsidP="0084081D">
      <w:pPr>
        <w:spacing w:before="121" w:line="400" w:lineRule="exact"/>
        <w:ind w:left="144" w:right="144" w:firstLine="792"/>
        <w:jc w:val="both"/>
        <w:rPr>
          <w:rFonts w:ascii="Calibri" w:hAnsi="Calibri" w:cs="Calibri"/>
          <w:spacing w:val="-5"/>
          <w:sz w:val="25"/>
          <w:szCs w:val="25"/>
        </w:rPr>
      </w:pPr>
      <w:r>
        <w:rPr>
          <w:rFonts w:ascii="Calibri" w:hAnsi="Calibri"/>
          <w:spacing w:val="-5"/>
          <w:sz w:val="25"/>
        </w:rPr>
        <w:t xml:space="preserve">El éxito de estos proyectos confirmó que la adopción de estándares comunes y mínimos mejora la comprensión entre las autoridades judiciales de distintos sistemas jurídicos y contribuye, por tanto, a </w:t>
      </w:r>
      <w:r w:rsidR="00D37031">
        <w:rPr>
          <w:rFonts w:ascii="Calibri" w:hAnsi="Calibri"/>
          <w:spacing w:val="-5"/>
          <w:sz w:val="25"/>
        </w:rPr>
        <w:t>fortalece</w:t>
      </w:r>
      <w:r>
        <w:rPr>
          <w:rFonts w:ascii="Calibri" w:hAnsi="Calibri"/>
          <w:spacing w:val="-5"/>
          <w:sz w:val="25"/>
        </w:rPr>
        <w:t>r la confianza mutua y la cooperación judicial, al igual que facilita alcanzar una cultura judicial europea común.</w:t>
      </w:r>
    </w:p>
    <w:p w:rsidR="002C40B2" w:rsidRPr="00A405D6" w:rsidRDefault="002C40B2" w:rsidP="0084081D">
      <w:pPr>
        <w:spacing w:before="124" w:line="400" w:lineRule="exact"/>
        <w:ind w:left="144" w:right="144" w:firstLine="792"/>
        <w:jc w:val="both"/>
        <w:rPr>
          <w:rFonts w:ascii="Calibri" w:hAnsi="Calibri" w:cs="Calibri"/>
          <w:spacing w:val="-4"/>
          <w:sz w:val="25"/>
          <w:szCs w:val="25"/>
        </w:rPr>
      </w:pPr>
      <w:r>
        <w:rPr>
          <w:rFonts w:ascii="Calibri" w:hAnsi="Calibri"/>
          <w:spacing w:val="-4"/>
          <w:sz w:val="25"/>
        </w:rPr>
        <w:t xml:space="preserve">La RECJ consideró además que es necesario establecer estándares judiciales mínimos relativos a la participación de los miembros no judiciales en la gobernanza judicial. El Proyecto VI se creó para reflexionar sobre esta cuestión, coordinado de manera conjunta por el coordinador italiano – Profesor </w:t>
      </w:r>
      <w:proofErr w:type="spellStart"/>
      <w:r>
        <w:rPr>
          <w:rFonts w:ascii="Calibri" w:hAnsi="Calibri"/>
          <w:spacing w:val="-4"/>
          <w:sz w:val="25"/>
        </w:rPr>
        <w:t>Alessio</w:t>
      </w:r>
      <w:proofErr w:type="spellEnd"/>
      <w:r>
        <w:rPr>
          <w:rFonts w:ascii="Calibri" w:hAnsi="Calibri"/>
          <w:spacing w:val="-4"/>
          <w:sz w:val="25"/>
        </w:rPr>
        <w:t xml:space="preserve"> </w:t>
      </w:r>
      <w:proofErr w:type="spellStart"/>
      <w:r>
        <w:rPr>
          <w:rFonts w:ascii="Calibri" w:hAnsi="Calibri"/>
          <w:spacing w:val="-4"/>
          <w:sz w:val="25"/>
        </w:rPr>
        <w:t>Zaccaria</w:t>
      </w:r>
      <w:proofErr w:type="spellEnd"/>
      <w:r>
        <w:rPr>
          <w:rFonts w:ascii="Calibri" w:hAnsi="Calibri"/>
          <w:spacing w:val="-4"/>
          <w:sz w:val="25"/>
        </w:rPr>
        <w:t xml:space="preserve"> de la Universidad de Verona, miembro del </w:t>
      </w:r>
      <w:proofErr w:type="spellStart"/>
      <w:r>
        <w:rPr>
          <w:rFonts w:ascii="Calibri" w:hAnsi="Calibri"/>
          <w:i/>
          <w:spacing w:val="-4"/>
          <w:sz w:val="25"/>
        </w:rPr>
        <w:t>Consiglio</w:t>
      </w:r>
      <w:proofErr w:type="spellEnd"/>
      <w:r>
        <w:rPr>
          <w:rFonts w:ascii="Calibri" w:hAnsi="Calibri"/>
          <w:i/>
          <w:spacing w:val="-4"/>
          <w:sz w:val="25"/>
        </w:rPr>
        <w:t xml:space="preserve"> </w:t>
      </w:r>
      <w:proofErr w:type="spellStart"/>
      <w:r>
        <w:rPr>
          <w:rFonts w:ascii="Calibri" w:hAnsi="Calibri"/>
          <w:i/>
          <w:spacing w:val="-4"/>
          <w:sz w:val="25"/>
        </w:rPr>
        <w:t>Superiore</w:t>
      </w:r>
      <w:proofErr w:type="spellEnd"/>
      <w:r>
        <w:rPr>
          <w:rFonts w:ascii="Calibri" w:hAnsi="Calibri"/>
          <w:i/>
          <w:spacing w:val="-4"/>
          <w:sz w:val="25"/>
        </w:rPr>
        <w:t xml:space="preserve"> </w:t>
      </w:r>
      <w:proofErr w:type="spellStart"/>
      <w:r>
        <w:rPr>
          <w:rFonts w:ascii="Calibri" w:hAnsi="Calibri"/>
          <w:i/>
          <w:spacing w:val="-4"/>
          <w:sz w:val="25"/>
        </w:rPr>
        <w:t>della</w:t>
      </w:r>
      <w:proofErr w:type="spellEnd"/>
      <w:r>
        <w:rPr>
          <w:rFonts w:ascii="Calibri" w:hAnsi="Calibri"/>
          <w:i/>
          <w:spacing w:val="-4"/>
          <w:sz w:val="25"/>
        </w:rPr>
        <w:t xml:space="preserve"> Magistratura</w:t>
      </w:r>
      <w:r>
        <w:rPr>
          <w:rFonts w:ascii="Calibri" w:hAnsi="Calibri"/>
          <w:spacing w:val="-4"/>
          <w:sz w:val="25"/>
        </w:rPr>
        <w:t xml:space="preserve"> italiano y el coordinador polaco – </w:t>
      </w:r>
      <w:proofErr w:type="spellStart"/>
      <w:r>
        <w:rPr>
          <w:rFonts w:ascii="Calibri" w:hAnsi="Calibri"/>
          <w:spacing w:val="-4"/>
          <w:sz w:val="25"/>
        </w:rPr>
        <w:t>Lukasz</w:t>
      </w:r>
      <w:proofErr w:type="spellEnd"/>
      <w:r>
        <w:rPr>
          <w:rFonts w:ascii="Calibri" w:hAnsi="Calibri"/>
          <w:spacing w:val="-4"/>
          <w:sz w:val="25"/>
        </w:rPr>
        <w:t xml:space="preserve"> </w:t>
      </w:r>
      <w:proofErr w:type="spellStart"/>
      <w:r>
        <w:rPr>
          <w:rFonts w:ascii="Calibri" w:hAnsi="Calibri"/>
          <w:spacing w:val="-4"/>
          <w:sz w:val="25"/>
        </w:rPr>
        <w:t>Bojarski</w:t>
      </w:r>
      <w:proofErr w:type="spellEnd"/>
      <w:r>
        <w:rPr>
          <w:rFonts w:ascii="Calibri" w:hAnsi="Calibri"/>
          <w:spacing w:val="-4"/>
          <w:sz w:val="25"/>
        </w:rPr>
        <w:t xml:space="preserve">, miembro del </w:t>
      </w:r>
      <w:proofErr w:type="spellStart"/>
      <w:r>
        <w:rPr>
          <w:rFonts w:ascii="Calibri" w:hAnsi="Calibri"/>
          <w:i/>
          <w:spacing w:val="-4"/>
          <w:sz w:val="25"/>
        </w:rPr>
        <w:t>Krajowa</w:t>
      </w:r>
      <w:proofErr w:type="spellEnd"/>
      <w:r>
        <w:rPr>
          <w:rFonts w:ascii="Calibri" w:hAnsi="Calibri"/>
          <w:i/>
          <w:spacing w:val="-4"/>
          <w:sz w:val="25"/>
        </w:rPr>
        <w:t xml:space="preserve"> Rada </w:t>
      </w:r>
      <w:proofErr w:type="spellStart"/>
      <w:r>
        <w:rPr>
          <w:rFonts w:ascii="Calibri" w:hAnsi="Calibri"/>
          <w:i/>
          <w:spacing w:val="-4"/>
          <w:sz w:val="25"/>
        </w:rPr>
        <w:t>Sądownictwa</w:t>
      </w:r>
      <w:proofErr w:type="spellEnd"/>
      <w:r>
        <w:rPr>
          <w:rFonts w:ascii="Calibri" w:hAnsi="Calibri"/>
          <w:spacing w:val="-4"/>
          <w:sz w:val="25"/>
        </w:rPr>
        <w:t xml:space="preserve"> polaco (2010-2015) y Presidente de INPRIS (</w:t>
      </w:r>
      <w:proofErr w:type="spellStart"/>
      <w:r>
        <w:rPr>
          <w:rFonts w:ascii="Calibri" w:hAnsi="Calibri"/>
          <w:i/>
          <w:spacing w:val="-4"/>
          <w:sz w:val="25"/>
        </w:rPr>
        <w:t>Instytut</w:t>
      </w:r>
      <w:proofErr w:type="spellEnd"/>
      <w:r>
        <w:rPr>
          <w:rFonts w:ascii="Calibri" w:hAnsi="Calibri"/>
          <w:i/>
          <w:spacing w:val="-4"/>
          <w:sz w:val="25"/>
        </w:rPr>
        <w:t xml:space="preserve"> </w:t>
      </w:r>
      <w:proofErr w:type="spellStart"/>
      <w:r>
        <w:rPr>
          <w:rFonts w:ascii="Calibri" w:hAnsi="Calibri"/>
          <w:i/>
          <w:spacing w:val="-4"/>
          <w:sz w:val="25"/>
        </w:rPr>
        <w:t>Prawa</w:t>
      </w:r>
      <w:proofErr w:type="spellEnd"/>
      <w:r>
        <w:rPr>
          <w:rFonts w:ascii="Calibri" w:hAnsi="Calibri"/>
          <w:i/>
          <w:spacing w:val="-4"/>
          <w:sz w:val="25"/>
        </w:rPr>
        <w:t xml:space="preserve"> i </w:t>
      </w:r>
      <w:proofErr w:type="spellStart"/>
      <w:r>
        <w:rPr>
          <w:rFonts w:ascii="Calibri" w:hAnsi="Calibri"/>
          <w:i/>
          <w:spacing w:val="-4"/>
          <w:sz w:val="25"/>
        </w:rPr>
        <w:t>Społeczeństwa</w:t>
      </w:r>
      <w:proofErr w:type="spellEnd"/>
      <w:r>
        <w:rPr>
          <w:rFonts w:ascii="Calibri" w:hAnsi="Calibri"/>
          <w:spacing w:val="-4"/>
          <w:sz w:val="25"/>
        </w:rPr>
        <w:t>/Instituto para el derecho y la sociedad).</w:t>
      </w:r>
    </w:p>
    <w:p w:rsidR="002C40B2" w:rsidRPr="00A405D6" w:rsidRDefault="002C40B2" w:rsidP="0084081D">
      <w:pPr>
        <w:spacing w:before="120" w:line="400" w:lineRule="exact"/>
        <w:ind w:left="144" w:right="144" w:firstLine="792"/>
        <w:jc w:val="both"/>
        <w:rPr>
          <w:rFonts w:ascii="Calibri" w:hAnsi="Calibri" w:cs="Calibri"/>
          <w:spacing w:val="-4"/>
          <w:sz w:val="25"/>
          <w:szCs w:val="25"/>
        </w:rPr>
      </w:pPr>
      <w:r>
        <w:rPr>
          <w:rFonts w:ascii="Calibri" w:hAnsi="Calibri"/>
          <w:spacing w:val="-4"/>
          <w:sz w:val="25"/>
        </w:rPr>
        <w:t xml:space="preserve">El planteamiento del Equipo de Proyecto </w:t>
      </w:r>
      <w:r w:rsidR="00D37031">
        <w:rPr>
          <w:rFonts w:ascii="Calibri" w:hAnsi="Calibri"/>
          <w:spacing w:val="-4"/>
          <w:sz w:val="25"/>
        </w:rPr>
        <w:t>a la hora</w:t>
      </w:r>
      <w:r>
        <w:rPr>
          <w:rFonts w:ascii="Calibri" w:hAnsi="Calibri"/>
          <w:spacing w:val="-4"/>
          <w:sz w:val="25"/>
        </w:rPr>
        <w:t xml:space="preserve"> de definir estándares mínimos en este ámbito ha sido basarse en que dichos estándares, con pleno respeto del principio de subsidiariedad e independencia, deben limitarse a aquellos que se consideren indispensables para la organización y la gestión de un consejo de Justicia y otros órganos relevantes</w:t>
      </w:r>
      <w:r w:rsidR="00AF6A3C">
        <w:rPr>
          <w:rFonts w:ascii="Calibri" w:hAnsi="Calibri"/>
          <w:spacing w:val="-4"/>
          <w:sz w:val="25"/>
        </w:rPr>
        <w:t>,</w:t>
      </w:r>
      <w:r>
        <w:rPr>
          <w:rFonts w:ascii="Calibri" w:hAnsi="Calibri"/>
          <w:spacing w:val="-4"/>
          <w:sz w:val="25"/>
        </w:rPr>
        <w:t xml:space="preserve"> tal como se define más abajo.</w:t>
      </w:r>
    </w:p>
    <w:p w:rsidR="002C40B2" w:rsidRPr="00A405D6" w:rsidRDefault="002C40B2" w:rsidP="0084081D">
      <w:pPr>
        <w:spacing w:before="124" w:line="400" w:lineRule="exact"/>
        <w:ind w:left="144" w:right="144" w:firstLine="792"/>
        <w:jc w:val="both"/>
        <w:rPr>
          <w:rFonts w:ascii="Calibri" w:hAnsi="Calibri" w:cs="Calibri"/>
          <w:spacing w:val="-4"/>
          <w:sz w:val="25"/>
          <w:szCs w:val="25"/>
        </w:rPr>
      </w:pPr>
      <w:r>
        <w:rPr>
          <w:rFonts w:ascii="Calibri" w:hAnsi="Calibri"/>
          <w:spacing w:val="-4"/>
          <w:sz w:val="25"/>
        </w:rPr>
        <w:t xml:space="preserve">Habida cuenta de la gran variedad de posibles participantes en la gobernanza judicial y los distintos sistemas de nombramiento y gestión de los miembros no judiciales en la gobernanza judicial en toda Europa, el Equipo de Proyecto trató de investigar </w:t>
      </w:r>
      <w:r w:rsidR="00AF6A3C">
        <w:rPr>
          <w:rFonts w:ascii="Calibri" w:hAnsi="Calibri"/>
          <w:spacing w:val="-4"/>
          <w:sz w:val="25"/>
        </w:rPr>
        <w:t xml:space="preserve">sobre </w:t>
      </w:r>
      <w:r>
        <w:rPr>
          <w:rFonts w:ascii="Calibri" w:hAnsi="Calibri"/>
          <w:spacing w:val="-4"/>
          <w:sz w:val="25"/>
        </w:rPr>
        <w:t xml:space="preserve">el </w:t>
      </w:r>
      <w:proofErr w:type="spellStart"/>
      <w:r>
        <w:rPr>
          <w:rFonts w:ascii="Calibri" w:hAnsi="Calibri"/>
          <w:i/>
          <w:spacing w:val="-4"/>
        </w:rPr>
        <w:t>status</w:t>
      </w:r>
      <w:proofErr w:type="spellEnd"/>
      <w:r>
        <w:rPr>
          <w:rFonts w:ascii="Calibri" w:hAnsi="Calibri"/>
          <w:i/>
          <w:spacing w:val="-4"/>
        </w:rPr>
        <w:t xml:space="preserve"> quo</w:t>
      </w:r>
      <w:r>
        <w:rPr>
          <w:rFonts w:ascii="Calibri" w:hAnsi="Calibri"/>
          <w:spacing w:val="-4"/>
          <w:sz w:val="25"/>
        </w:rPr>
        <w:t>, remitiendo un cuestionario a los representantes de los distintos países con especial atención a la participación de los miembros no judiciales en</w:t>
      </w:r>
      <w:r w:rsidR="00AF6A3C">
        <w:rPr>
          <w:rFonts w:ascii="Calibri" w:hAnsi="Calibri"/>
          <w:spacing w:val="-4"/>
          <w:sz w:val="25"/>
        </w:rPr>
        <w:t>:</w:t>
      </w:r>
      <w:r>
        <w:rPr>
          <w:rFonts w:ascii="Calibri" w:hAnsi="Calibri"/>
          <w:spacing w:val="-4"/>
          <w:sz w:val="25"/>
        </w:rPr>
        <w:t xml:space="preserve"> a) los consejos de Justicia</w:t>
      </w:r>
      <w:r w:rsidR="00AF6A3C">
        <w:rPr>
          <w:rFonts w:ascii="Calibri" w:hAnsi="Calibri"/>
          <w:spacing w:val="-4"/>
          <w:sz w:val="25"/>
        </w:rPr>
        <w:t>;</w:t>
      </w:r>
      <w:r>
        <w:rPr>
          <w:rFonts w:ascii="Calibri" w:hAnsi="Calibri"/>
          <w:spacing w:val="-4"/>
          <w:sz w:val="25"/>
        </w:rPr>
        <w:t xml:space="preserve"> b) los procedimientos y comités de nombramiento de los jueces</w:t>
      </w:r>
      <w:r w:rsidR="00AF6A3C">
        <w:rPr>
          <w:rFonts w:ascii="Calibri" w:hAnsi="Calibri"/>
          <w:spacing w:val="-4"/>
          <w:sz w:val="25"/>
        </w:rPr>
        <w:t>;</w:t>
      </w:r>
      <w:r>
        <w:rPr>
          <w:rFonts w:ascii="Calibri" w:hAnsi="Calibri"/>
          <w:spacing w:val="-4"/>
          <w:sz w:val="25"/>
        </w:rPr>
        <w:t xml:space="preserve"> y c) procedimientos y comités disciplinarios y de reclamación (véase el anexo).</w:t>
      </w:r>
    </w:p>
    <w:p w:rsidR="002C40B2" w:rsidRPr="00A405D6" w:rsidRDefault="002C40B2" w:rsidP="0084081D">
      <w:pPr>
        <w:spacing w:before="121" w:line="400" w:lineRule="exact"/>
        <w:ind w:left="144" w:right="144" w:firstLine="792"/>
        <w:jc w:val="both"/>
        <w:rPr>
          <w:rFonts w:ascii="Calibri" w:hAnsi="Calibri" w:cs="Calibri"/>
          <w:spacing w:val="-4"/>
          <w:sz w:val="25"/>
          <w:szCs w:val="25"/>
        </w:rPr>
      </w:pPr>
      <w:r>
        <w:rPr>
          <w:rFonts w:ascii="Calibri" w:hAnsi="Calibri"/>
          <w:spacing w:val="-4"/>
          <w:sz w:val="25"/>
        </w:rPr>
        <w:t xml:space="preserve">Además, el Equipo de Proyecto </w:t>
      </w:r>
      <w:r w:rsidR="00AF6A3C">
        <w:rPr>
          <w:rFonts w:ascii="Calibri" w:hAnsi="Calibri"/>
          <w:spacing w:val="-4"/>
          <w:sz w:val="25"/>
        </w:rPr>
        <w:t>solicit</w:t>
      </w:r>
      <w:r>
        <w:rPr>
          <w:rFonts w:ascii="Calibri" w:hAnsi="Calibri"/>
          <w:spacing w:val="-4"/>
          <w:sz w:val="25"/>
        </w:rPr>
        <w:t>ó la opinión de los miembros de los consejos de Justicia sobre la participación de los miembros no judiciales en la gobernanza judicial mediante algunas preguntas abiertas en un cuestionario separado. Al analizar la gran cantidad de información así obtenida, tuvimos en cuenta el trabajo ya realizado por los cinco anteriores</w:t>
      </w:r>
    </w:p>
    <w:p w:rsidR="002C40B2" w:rsidRPr="00A405D6" w:rsidRDefault="002C40B2" w:rsidP="0084081D">
      <w:pPr>
        <w:spacing w:before="220" w:line="225" w:lineRule="exact"/>
        <w:ind w:right="144"/>
        <w:jc w:val="right"/>
        <w:rPr>
          <w:rFonts w:ascii="Calibri" w:hAnsi="Calibri" w:cs="Calibri"/>
          <w:sz w:val="22"/>
          <w:szCs w:val="22"/>
        </w:rPr>
      </w:pPr>
      <w:r>
        <w:rPr>
          <w:rFonts w:ascii="Calibri" w:hAnsi="Calibri"/>
          <w:sz w:val="22"/>
        </w:rPr>
        <w:t>5</w:t>
      </w:r>
    </w:p>
    <w:p w:rsidR="002C40B2" w:rsidRPr="00A405D6" w:rsidRDefault="002C40B2" w:rsidP="0084081D">
      <w:pPr>
        <w:spacing w:before="44" w:line="226" w:lineRule="exact"/>
        <w:ind w:left="144"/>
        <w:jc w:val="both"/>
        <w:rPr>
          <w:rFonts w:ascii="Calibri" w:hAnsi="Calibri" w:cs="Calibri"/>
          <w:sz w:val="22"/>
          <w:szCs w:val="22"/>
        </w:rPr>
      </w:pPr>
      <w:r>
        <w:rPr>
          <w:rFonts w:ascii="Calibri" w:hAnsi="Calibri"/>
          <w:sz w:val="22"/>
        </w:rPr>
        <w:t>Proyecto de la RECJ sobre los miembros no judiciales en la gobernanza judicial 2015-2016 - aprobado por la</w:t>
      </w:r>
      <w:r w:rsidR="00AF6A3C">
        <w:rPr>
          <w:rFonts w:ascii="Calibri" w:hAnsi="Calibri"/>
          <w:sz w:val="22"/>
        </w:rPr>
        <w:t xml:space="preserve"> </w:t>
      </w:r>
      <w:r>
        <w:rPr>
          <w:rFonts w:ascii="Calibri" w:hAnsi="Calibri"/>
          <w:sz w:val="22"/>
        </w:rPr>
        <w:t>Asamblea General el 3 de junio de 2016</w:t>
      </w:r>
    </w:p>
    <w:p w:rsidR="002C40B2" w:rsidRPr="0084081D" w:rsidRDefault="003D3904" w:rsidP="0084081D">
      <w:pPr>
        <w:spacing w:before="43" w:line="226" w:lineRule="exact"/>
        <w:ind w:left="144"/>
        <w:jc w:val="both"/>
        <w:rPr>
          <w:rFonts w:ascii="Calibri" w:hAnsi="Calibri" w:cs="Calibri"/>
          <w:sz w:val="22"/>
          <w:szCs w:val="22"/>
          <w:lang w:val="en-US"/>
        </w:rPr>
      </w:pPr>
      <w:hyperlink r:id="rId10">
        <w:r w:rsidR="002C40B2" w:rsidRPr="0084081D">
          <w:rPr>
            <w:rFonts w:ascii="Calibri" w:hAnsi="Calibri"/>
            <w:color w:val="0000FF"/>
            <w:sz w:val="22"/>
            <w:u w:val="single"/>
            <w:lang w:val="en-US"/>
          </w:rPr>
          <w:t>www.encj.eu</w:t>
        </w:r>
      </w:hyperlink>
    </w:p>
    <w:p w:rsidR="002C40B2" w:rsidRPr="0084081D" w:rsidRDefault="002C40B2" w:rsidP="0084081D">
      <w:pPr>
        <w:spacing w:before="42" w:line="226" w:lineRule="exact"/>
        <w:ind w:left="144"/>
        <w:jc w:val="both"/>
        <w:rPr>
          <w:rFonts w:ascii="Calibri" w:hAnsi="Calibri" w:cs="Calibri"/>
          <w:sz w:val="22"/>
          <w:szCs w:val="22"/>
          <w:lang w:val="en-US"/>
        </w:rPr>
      </w:pPr>
      <w:proofErr w:type="spellStart"/>
      <w:r w:rsidRPr="0084081D">
        <w:rPr>
          <w:rFonts w:ascii="Calibri" w:hAnsi="Calibri"/>
          <w:sz w:val="22"/>
          <w:lang w:val="en-US"/>
        </w:rPr>
        <w:t>office@encj.euENCJ</w:t>
      </w:r>
      <w:proofErr w:type="spellEnd"/>
      <w:r w:rsidRPr="0084081D">
        <w:rPr>
          <w:rFonts w:ascii="Calibri" w:hAnsi="Calibri"/>
          <w:sz w:val="22"/>
          <w:lang w:val="en-US"/>
        </w:rPr>
        <w:t xml:space="preserve"> report</w:t>
      </w:r>
    </w:p>
    <w:p w:rsidR="002C40B2" w:rsidRPr="0084081D" w:rsidRDefault="002C40B2" w:rsidP="0084081D">
      <w:pPr>
        <w:widowControl/>
        <w:kinsoku/>
        <w:overflowPunct/>
        <w:autoSpaceDE w:val="0"/>
        <w:autoSpaceDN w:val="0"/>
        <w:adjustRightInd w:val="0"/>
        <w:jc w:val="both"/>
        <w:textAlignment w:val="auto"/>
        <w:rPr>
          <w:lang w:val="en-US"/>
        </w:rPr>
        <w:sectPr w:rsidR="002C40B2" w:rsidRPr="0084081D">
          <w:pgSz w:w="11909" w:h="16838"/>
          <w:pgMar w:top="1240" w:right="1212" w:bottom="322" w:left="1277" w:header="720" w:footer="720" w:gutter="0"/>
          <w:cols w:space="720"/>
          <w:noEndnote/>
        </w:sectPr>
      </w:pPr>
    </w:p>
    <w:p w:rsidR="002C40B2" w:rsidRPr="00A405D6" w:rsidRDefault="002C40B2" w:rsidP="0084081D">
      <w:pPr>
        <w:spacing w:line="366" w:lineRule="exact"/>
        <w:ind w:left="72" w:right="144"/>
        <w:jc w:val="both"/>
        <w:rPr>
          <w:rFonts w:ascii="Calibri" w:hAnsi="Calibri" w:cs="Calibri"/>
        </w:rPr>
      </w:pPr>
      <w:proofErr w:type="gramStart"/>
      <w:r>
        <w:rPr>
          <w:rFonts w:ascii="Calibri" w:hAnsi="Calibri"/>
        </w:rPr>
        <w:lastRenderedPageBreak/>
        <w:t>proyectos</w:t>
      </w:r>
      <w:proofErr w:type="gramEnd"/>
      <w:r>
        <w:rPr>
          <w:rFonts w:ascii="Calibri" w:hAnsi="Calibri"/>
        </w:rPr>
        <w:t xml:space="preserve"> sobre estándares judiciales mínimos y también las conclusiones </w:t>
      </w:r>
      <w:r w:rsidR="00810D69">
        <w:rPr>
          <w:rFonts w:ascii="Calibri" w:hAnsi="Calibri"/>
        </w:rPr>
        <w:t>en la materia</w:t>
      </w:r>
      <w:r>
        <w:rPr>
          <w:rFonts w:ascii="Calibri" w:hAnsi="Calibri"/>
        </w:rPr>
        <w:t xml:space="preserve"> alcanzadas a nivel internacional, como los de la Comisión de Venecia</w:t>
      </w:r>
      <w:r>
        <w:rPr>
          <w:rFonts w:ascii="Calibri" w:hAnsi="Calibri"/>
          <w:vertAlign w:val="superscript"/>
        </w:rPr>
        <w:t>1</w:t>
      </w:r>
      <w:r>
        <w:rPr>
          <w:rFonts w:ascii="Calibri" w:hAnsi="Calibri"/>
        </w:rPr>
        <w:t>.</w:t>
      </w:r>
    </w:p>
    <w:p w:rsidR="002C40B2" w:rsidRPr="00A405D6" w:rsidRDefault="002C40B2" w:rsidP="0084081D">
      <w:pPr>
        <w:spacing w:before="685" w:after="8702" w:line="437" w:lineRule="exact"/>
        <w:ind w:left="72" w:right="144" w:firstLine="864"/>
        <w:jc w:val="both"/>
        <w:rPr>
          <w:rFonts w:ascii="Calibri" w:hAnsi="Calibri" w:cs="Calibri"/>
        </w:rPr>
      </w:pPr>
      <w:r>
        <w:rPr>
          <w:rFonts w:ascii="Calibri" w:hAnsi="Calibri"/>
        </w:rPr>
        <w:t>El proyecto de informe se presentó a la Asamblea General de la RECJ reunida en Varsovia del 1 al 3 de junio de 2016. El informe y las normas y recomendaciones que contiene fueron aprobadas por la Asamblea General el 3 de junio de 2016.</w:t>
      </w:r>
    </w:p>
    <w:p w:rsidR="002C40B2" w:rsidRPr="00A405D6" w:rsidRDefault="00B8489C" w:rsidP="0084081D">
      <w:pPr>
        <w:spacing w:before="99" w:line="245" w:lineRule="exact"/>
        <w:ind w:left="72" w:right="144"/>
        <w:jc w:val="both"/>
        <w:rPr>
          <w:rFonts w:ascii="Calibri" w:hAnsi="Calibri" w:cs="Calibri"/>
          <w:sz w:val="20"/>
          <w:szCs w:val="20"/>
        </w:rPr>
      </w:pPr>
      <w:r>
        <w:rPr>
          <w:noProof/>
          <w:lang w:bidi="ar-SA"/>
        </w:rPr>
        <mc:AlternateContent>
          <mc:Choice Requires="wps">
            <w:drawing>
              <wp:anchor distT="0" distB="0" distL="0" distR="0" simplePos="0" relativeHeight="251659264" behindDoc="0" locked="0" layoutInCell="0" allowOverlap="1" wp14:anchorId="3DCFAC3D" wp14:editId="630F7FE1">
                <wp:simplePos x="0" y="0"/>
                <wp:positionH relativeFrom="column">
                  <wp:posOffset>86360</wp:posOffset>
                </wp:positionH>
                <wp:positionV relativeFrom="paragraph">
                  <wp:posOffset>6985</wp:posOffset>
                </wp:positionV>
                <wp:extent cx="1832610" cy="0"/>
                <wp:effectExtent l="0" t="0" r="0" b="0"/>
                <wp:wrapSquare wrapText="bothSides"/>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5327404C" id="Line 3"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8pt,.55pt" to="151.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dSSEgIAACk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" o:allowincell="f" strokeweight=".95pt">
                <w10:wrap type="square"/>
              </v:line>
            </w:pict>
          </mc:Fallback>
        </mc:AlternateContent>
      </w:r>
      <w:r>
        <w:rPr>
          <w:rFonts w:ascii="Calibri" w:hAnsi="Calibri"/>
          <w:sz w:val="13"/>
          <w:vertAlign w:val="superscript"/>
        </w:rPr>
        <w:t>1</w:t>
      </w:r>
      <w:r>
        <w:rPr>
          <w:rFonts w:ascii="Calibri" w:hAnsi="Calibri"/>
          <w:sz w:val="20"/>
        </w:rPr>
        <w:t xml:space="preserve"> La Comisión Europea para la Democracia por el Derecho - más conocida como Comisión de Venecia por reunirse en Venecia – es el órgano consultivo del Consejo de Europa en materia constitucional. La función de la Comisión de Venecia </w:t>
      </w:r>
      <w:r w:rsidR="00B90F0B">
        <w:rPr>
          <w:rFonts w:ascii="Calibri" w:hAnsi="Calibri"/>
          <w:sz w:val="20"/>
        </w:rPr>
        <w:t xml:space="preserve">es </w:t>
      </w:r>
      <w:r>
        <w:rPr>
          <w:rFonts w:ascii="Calibri" w:hAnsi="Calibri"/>
          <w:sz w:val="20"/>
        </w:rPr>
        <w:t xml:space="preserve">proporcionar asesoramiento legal a sus Estados miembros y, en especial, ayudar a los Estados que deseen adaptar sus estructuras jurídicas e institucionales a los estándares europeos y la experiencia internacional en materia de democracia, derechos humanos y Estado de Derecho. También colabora en la divulgación y consolidación de un patrimonio constitucional común, desempeñando un papel único en la gestión de conflictos, y proporciona </w:t>
      </w:r>
      <w:r w:rsidR="00A83A5F">
        <w:rPr>
          <w:rFonts w:ascii="Calibri" w:hAnsi="Calibri"/>
          <w:sz w:val="20"/>
        </w:rPr>
        <w:t>“</w:t>
      </w:r>
      <w:r>
        <w:rPr>
          <w:rFonts w:ascii="Calibri" w:hAnsi="Calibri"/>
          <w:sz w:val="20"/>
        </w:rPr>
        <w:t>ayuda constitucional de emergencia” a los Estados en transición.</w:t>
      </w:r>
    </w:p>
    <w:p w:rsidR="002C40B2" w:rsidRPr="00A405D6" w:rsidRDefault="002C40B2" w:rsidP="0084081D">
      <w:pPr>
        <w:spacing w:before="159" w:line="225" w:lineRule="exact"/>
        <w:ind w:left="72" w:right="90"/>
        <w:jc w:val="right"/>
        <w:rPr>
          <w:rFonts w:ascii="Calibri" w:hAnsi="Calibri" w:cs="Calibri"/>
          <w:sz w:val="22"/>
          <w:szCs w:val="22"/>
        </w:rPr>
      </w:pPr>
      <w:r>
        <w:rPr>
          <w:rFonts w:ascii="Calibri" w:hAnsi="Calibri"/>
          <w:sz w:val="22"/>
        </w:rPr>
        <w:t>6</w:t>
      </w:r>
    </w:p>
    <w:p w:rsidR="002C40B2" w:rsidRPr="00A405D6" w:rsidRDefault="002C40B2" w:rsidP="0084081D">
      <w:pPr>
        <w:spacing w:before="44" w:line="226" w:lineRule="exact"/>
        <w:ind w:left="72"/>
        <w:jc w:val="both"/>
        <w:rPr>
          <w:rFonts w:ascii="Calibri" w:hAnsi="Calibri" w:cs="Calibri"/>
          <w:sz w:val="22"/>
          <w:szCs w:val="22"/>
        </w:rPr>
      </w:pPr>
      <w:r>
        <w:rPr>
          <w:rFonts w:ascii="Calibri" w:hAnsi="Calibri"/>
          <w:sz w:val="22"/>
        </w:rPr>
        <w:t>Proyecto de la RECJ sobre los miembros no judiciales en la gobernanza judicial 2015-2016 - aprobado por la</w:t>
      </w:r>
      <w:r w:rsidR="00B90F0B">
        <w:rPr>
          <w:rFonts w:ascii="Calibri" w:hAnsi="Calibri"/>
          <w:sz w:val="22"/>
        </w:rPr>
        <w:t xml:space="preserve"> </w:t>
      </w:r>
      <w:r>
        <w:rPr>
          <w:rFonts w:ascii="Calibri" w:hAnsi="Calibri"/>
          <w:sz w:val="22"/>
        </w:rPr>
        <w:t>Asamblea General el 3 de junio de 2016</w:t>
      </w:r>
    </w:p>
    <w:p w:rsidR="002C40B2" w:rsidRPr="0084081D" w:rsidRDefault="003D3904" w:rsidP="0084081D">
      <w:pPr>
        <w:spacing w:before="43" w:line="226" w:lineRule="exact"/>
        <w:ind w:left="72"/>
        <w:jc w:val="both"/>
        <w:rPr>
          <w:rFonts w:ascii="Calibri" w:hAnsi="Calibri" w:cs="Calibri"/>
          <w:sz w:val="22"/>
          <w:szCs w:val="22"/>
          <w:lang w:val="en-US"/>
        </w:rPr>
      </w:pPr>
      <w:hyperlink r:id="rId11">
        <w:r w:rsidR="002C40B2" w:rsidRPr="0084081D">
          <w:rPr>
            <w:rFonts w:ascii="Calibri" w:hAnsi="Calibri"/>
            <w:color w:val="0000FF"/>
            <w:sz w:val="22"/>
            <w:u w:val="single"/>
            <w:lang w:val="en-US"/>
          </w:rPr>
          <w:t>www.encj.eu</w:t>
        </w:r>
      </w:hyperlink>
    </w:p>
    <w:p w:rsidR="002C40B2" w:rsidRPr="0084081D" w:rsidRDefault="002C40B2" w:rsidP="0084081D">
      <w:pPr>
        <w:spacing w:before="42" w:line="226" w:lineRule="exact"/>
        <w:ind w:left="72"/>
        <w:jc w:val="both"/>
        <w:rPr>
          <w:rFonts w:ascii="Calibri" w:hAnsi="Calibri" w:cs="Calibri"/>
          <w:sz w:val="22"/>
          <w:szCs w:val="22"/>
          <w:lang w:val="en-US"/>
        </w:rPr>
      </w:pPr>
      <w:proofErr w:type="spellStart"/>
      <w:r w:rsidRPr="0084081D">
        <w:rPr>
          <w:rFonts w:ascii="Calibri" w:hAnsi="Calibri"/>
          <w:sz w:val="22"/>
          <w:lang w:val="en-US"/>
        </w:rPr>
        <w:t>office@encj.euENCJ</w:t>
      </w:r>
      <w:proofErr w:type="spellEnd"/>
      <w:r w:rsidRPr="0084081D">
        <w:rPr>
          <w:rFonts w:ascii="Calibri" w:hAnsi="Calibri"/>
          <w:sz w:val="22"/>
          <w:lang w:val="en-US"/>
        </w:rPr>
        <w:t xml:space="preserve"> report</w:t>
      </w:r>
    </w:p>
    <w:p w:rsidR="002C40B2" w:rsidRPr="0084081D" w:rsidRDefault="002C40B2" w:rsidP="0084081D">
      <w:pPr>
        <w:widowControl/>
        <w:kinsoku/>
        <w:overflowPunct/>
        <w:autoSpaceDE w:val="0"/>
        <w:autoSpaceDN w:val="0"/>
        <w:adjustRightInd w:val="0"/>
        <w:jc w:val="both"/>
        <w:textAlignment w:val="auto"/>
        <w:rPr>
          <w:lang w:val="en-US"/>
        </w:rPr>
        <w:sectPr w:rsidR="002C40B2" w:rsidRPr="0084081D">
          <w:pgSz w:w="11909" w:h="16838"/>
          <w:pgMar w:top="1400" w:right="1209" w:bottom="322" w:left="1280" w:header="720" w:footer="720" w:gutter="0"/>
          <w:cols w:space="720"/>
          <w:noEndnote/>
        </w:sectPr>
      </w:pPr>
    </w:p>
    <w:p w:rsidR="002C40B2" w:rsidRPr="00A405D6" w:rsidRDefault="002C40B2" w:rsidP="0084081D">
      <w:pPr>
        <w:spacing w:before="52" w:line="324" w:lineRule="exact"/>
        <w:ind w:left="144"/>
        <w:jc w:val="both"/>
        <w:rPr>
          <w:rFonts w:ascii="Calibri" w:hAnsi="Calibri" w:cs="Calibri"/>
          <w:b/>
          <w:bCs/>
          <w:color w:val="345A89"/>
          <w:sz w:val="32"/>
          <w:szCs w:val="32"/>
        </w:rPr>
      </w:pPr>
      <w:r>
        <w:rPr>
          <w:rFonts w:ascii="Calibri" w:hAnsi="Calibri"/>
          <w:b/>
          <w:color w:val="345A89"/>
          <w:sz w:val="32"/>
        </w:rPr>
        <w:lastRenderedPageBreak/>
        <w:t>Capítulo I Desarrollo y elaboración de los estándares propuestos</w:t>
      </w:r>
    </w:p>
    <w:p w:rsidR="002C40B2" w:rsidRPr="00A405D6" w:rsidRDefault="002C40B2" w:rsidP="0084081D">
      <w:pPr>
        <w:spacing w:before="175" w:line="440" w:lineRule="exact"/>
        <w:ind w:left="144" w:right="144" w:firstLine="792"/>
        <w:jc w:val="both"/>
        <w:rPr>
          <w:rFonts w:ascii="Calibri" w:hAnsi="Calibri" w:cs="Calibri"/>
          <w:sz w:val="25"/>
          <w:szCs w:val="25"/>
        </w:rPr>
      </w:pPr>
      <w:r>
        <w:rPr>
          <w:rFonts w:ascii="Calibri" w:hAnsi="Calibri"/>
          <w:sz w:val="25"/>
        </w:rPr>
        <w:t>El Equipo de Proyecto ha tratado de centrarse principalmente en cuestiones que no hayan sido previamente objeto de conclusiones por parte de anteriores Grupos de Trabajo de la RECJ. Sin embargo, hemos reflexionado sobre ciertas cuestiones ya estudiadas, como el nivel de participación del que deben gozar los miembros no judiciales en los consejos de Justicia, procesos de nombramiento y órganos disciplinarios.</w:t>
      </w:r>
    </w:p>
    <w:p w:rsidR="002C40B2" w:rsidRDefault="002C40B2" w:rsidP="0084081D">
      <w:pPr>
        <w:spacing w:before="121" w:line="440" w:lineRule="exact"/>
        <w:ind w:left="144" w:right="144" w:firstLine="792"/>
        <w:jc w:val="both"/>
        <w:rPr>
          <w:rFonts w:ascii="Calibri" w:hAnsi="Calibri" w:cs="Calibri"/>
          <w:sz w:val="25"/>
          <w:szCs w:val="25"/>
        </w:rPr>
      </w:pPr>
      <w:r>
        <w:rPr>
          <w:rFonts w:ascii="Calibri" w:hAnsi="Calibri"/>
          <w:sz w:val="25"/>
        </w:rPr>
        <w:t>El Equipo de Proyecto llevó a cabo el análisis del material obtenido en respuesta a dos cuestionarios y elaboró la propuesta de estándares que se expone en este informe. El Equipo de Proyecto se ha centrado en las siguientes cuestiones:</w:t>
      </w:r>
    </w:p>
    <w:p w:rsidR="002C40B2" w:rsidRPr="00A405D6" w:rsidRDefault="002C40B2" w:rsidP="0084081D">
      <w:pPr>
        <w:numPr>
          <w:ilvl w:val="0"/>
          <w:numId w:val="3"/>
        </w:numPr>
        <w:tabs>
          <w:tab w:val="left" w:pos="1728"/>
        </w:tabs>
        <w:spacing w:before="118" w:line="440" w:lineRule="exact"/>
        <w:ind w:right="144"/>
        <w:jc w:val="both"/>
        <w:rPr>
          <w:rFonts w:ascii="Calibri" w:hAnsi="Calibri" w:cs="Calibri"/>
          <w:spacing w:val="-5"/>
          <w:sz w:val="25"/>
          <w:szCs w:val="25"/>
        </w:rPr>
      </w:pPr>
      <w:r>
        <w:rPr>
          <w:rFonts w:ascii="Calibri" w:hAnsi="Calibri"/>
          <w:spacing w:val="-5"/>
          <w:sz w:val="25"/>
        </w:rPr>
        <w:t xml:space="preserve">La </w:t>
      </w:r>
      <w:r>
        <w:rPr>
          <w:rFonts w:ascii="Calibri" w:hAnsi="Calibri"/>
        </w:rPr>
        <w:t>composición de los consejos de Justicia y otros órganos relevantes en lo relativo a los miembros no judiciales</w:t>
      </w:r>
    </w:p>
    <w:p w:rsidR="002C40B2" w:rsidRPr="00A405D6" w:rsidRDefault="002C40B2" w:rsidP="0084081D">
      <w:pPr>
        <w:numPr>
          <w:ilvl w:val="0"/>
          <w:numId w:val="3"/>
        </w:numPr>
        <w:spacing w:before="195" w:line="245" w:lineRule="exact"/>
        <w:jc w:val="both"/>
        <w:rPr>
          <w:rFonts w:ascii="Calibri" w:hAnsi="Calibri" w:cs="Calibri"/>
          <w:spacing w:val="-1"/>
          <w:sz w:val="25"/>
          <w:szCs w:val="25"/>
        </w:rPr>
      </w:pPr>
      <w:r>
        <w:rPr>
          <w:rFonts w:ascii="Calibri" w:hAnsi="Calibri"/>
          <w:spacing w:val="-1"/>
          <w:sz w:val="25"/>
        </w:rPr>
        <w:t>El proceso de selección y nombramiento de los miembros no judiciales</w:t>
      </w:r>
    </w:p>
    <w:p w:rsidR="002C40B2" w:rsidRPr="00A405D6" w:rsidRDefault="002C40B2" w:rsidP="0084081D">
      <w:pPr>
        <w:numPr>
          <w:ilvl w:val="0"/>
          <w:numId w:val="4"/>
        </w:numPr>
        <w:spacing w:line="439" w:lineRule="exact"/>
        <w:ind w:right="144"/>
        <w:jc w:val="both"/>
        <w:rPr>
          <w:rFonts w:ascii="Calibri" w:hAnsi="Calibri" w:cs="Calibri"/>
          <w:sz w:val="25"/>
          <w:szCs w:val="25"/>
        </w:rPr>
      </w:pPr>
      <w:r>
        <w:rPr>
          <w:rFonts w:ascii="Calibri" w:hAnsi="Calibri"/>
          <w:sz w:val="25"/>
        </w:rPr>
        <w:t>Las cualidades personales, competencias y relaciones políticas de los miembros no judiciales</w:t>
      </w:r>
    </w:p>
    <w:p w:rsidR="002C40B2" w:rsidRDefault="002C40B2" w:rsidP="0084081D">
      <w:pPr>
        <w:numPr>
          <w:ilvl w:val="0"/>
          <w:numId w:val="5"/>
        </w:numPr>
        <w:spacing w:before="191" w:line="247" w:lineRule="exact"/>
        <w:jc w:val="both"/>
        <w:rPr>
          <w:rFonts w:ascii="Calibri" w:hAnsi="Calibri" w:cs="Calibri"/>
          <w:spacing w:val="-3"/>
          <w:sz w:val="25"/>
          <w:szCs w:val="25"/>
        </w:rPr>
      </w:pPr>
      <w:r>
        <w:rPr>
          <w:rFonts w:ascii="Calibri" w:hAnsi="Calibri"/>
          <w:spacing w:val="-3"/>
          <w:sz w:val="25"/>
        </w:rPr>
        <w:t>El estatuto de los miembros no judiciales</w:t>
      </w:r>
    </w:p>
    <w:p w:rsidR="002C40B2" w:rsidRDefault="002C40B2" w:rsidP="0084081D">
      <w:pPr>
        <w:numPr>
          <w:ilvl w:val="0"/>
          <w:numId w:val="6"/>
        </w:numPr>
        <w:spacing w:before="195" w:line="246" w:lineRule="exact"/>
        <w:jc w:val="both"/>
        <w:rPr>
          <w:rFonts w:ascii="Calibri" w:hAnsi="Calibri" w:cs="Calibri"/>
          <w:spacing w:val="12"/>
          <w:sz w:val="25"/>
          <w:szCs w:val="25"/>
        </w:rPr>
      </w:pPr>
      <w:r>
        <w:rPr>
          <w:rFonts w:ascii="Calibri" w:hAnsi="Calibri"/>
          <w:spacing w:val="12"/>
          <w:sz w:val="25"/>
        </w:rPr>
        <w:t>La conducta</w:t>
      </w:r>
    </w:p>
    <w:p w:rsidR="002C40B2" w:rsidRPr="00A405D6" w:rsidRDefault="002C40B2" w:rsidP="0084081D">
      <w:pPr>
        <w:spacing w:before="115" w:line="440" w:lineRule="exact"/>
        <w:ind w:left="144" w:right="144" w:firstLine="792"/>
        <w:jc w:val="both"/>
        <w:rPr>
          <w:rFonts w:ascii="Calibri" w:hAnsi="Calibri" w:cs="Calibri"/>
          <w:spacing w:val="-5"/>
          <w:sz w:val="25"/>
          <w:szCs w:val="25"/>
        </w:rPr>
      </w:pPr>
      <w:r>
        <w:rPr>
          <w:rFonts w:ascii="Calibri" w:hAnsi="Calibri"/>
          <w:spacing w:val="-5"/>
          <w:sz w:val="25"/>
        </w:rPr>
        <w:t>Los estándares mínimos propuestos se detallan en la segunda parte de este informe. Los comentarios figuran en la tercera parte del informe. Hemos incluido asimismo, en casillas azules, ejemplos aportados por distintos países que señalan y muestran el papel de los miembros no judiciales en la gobernanza judicial. La selección no pretende ser ni exhaustiva ni representativa: su finalidad es mostrar distintas soluciones interesantes a escala nacional. Se ofrece información más detallada en el Anexo, donde se adjuntan las respuestas por países al cuestionario. Agradecemos a todos los miembros del Equipo de Proyecto que hayan aportado sus puntos de vista y reflexiones en las preguntas identificadas sobre los estándares judiciales mínimos en la materia.</w:t>
      </w:r>
    </w:p>
    <w:p w:rsidR="002C40B2" w:rsidRPr="00A405D6" w:rsidRDefault="002C40B2" w:rsidP="0084081D">
      <w:pPr>
        <w:spacing w:before="1949" w:line="225" w:lineRule="exact"/>
        <w:ind w:right="90"/>
        <w:jc w:val="right"/>
        <w:rPr>
          <w:rFonts w:ascii="Calibri" w:hAnsi="Calibri" w:cs="Calibri"/>
          <w:sz w:val="22"/>
          <w:szCs w:val="22"/>
        </w:rPr>
      </w:pPr>
      <w:r>
        <w:rPr>
          <w:rFonts w:ascii="Calibri" w:hAnsi="Calibri"/>
          <w:sz w:val="22"/>
        </w:rPr>
        <w:t>7</w:t>
      </w:r>
    </w:p>
    <w:p w:rsidR="002C40B2" w:rsidRPr="00A405D6" w:rsidRDefault="002C40B2" w:rsidP="0084081D">
      <w:pPr>
        <w:spacing w:before="44" w:line="226" w:lineRule="exact"/>
        <w:ind w:left="144"/>
        <w:jc w:val="both"/>
        <w:rPr>
          <w:rFonts w:ascii="Calibri" w:hAnsi="Calibri" w:cs="Calibri"/>
          <w:sz w:val="22"/>
          <w:szCs w:val="22"/>
        </w:rPr>
      </w:pPr>
      <w:r>
        <w:rPr>
          <w:rFonts w:ascii="Calibri" w:hAnsi="Calibri"/>
          <w:sz w:val="22"/>
        </w:rPr>
        <w:t>Proyecto de la RECJ sobre los miembros no judiciales en la gobernanza judicial 2015-2016 - aprobado por la</w:t>
      </w:r>
      <w:r w:rsidR="00542DCB">
        <w:rPr>
          <w:rFonts w:ascii="Calibri" w:hAnsi="Calibri"/>
          <w:sz w:val="22"/>
        </w:rPr>
        <w:t xml:space="preserve"> </w:t>
      </w:r>
      <w:r>
        <w:rPr>
          <w:rFonts w:ascii="Calibri" w:hAnsi="Calibri"/>
          <w:sz w:val="22"/>
        </w:rPr>
        <w:t>Asamblea General el 3 de junio de 2016</w:t>
      </w:r>
    </w:p>
    <w:p w:rsidR="002C40B2" w:rsidRPr="0084081D" w:rsidRDefault="003D3904" w:rsidP="0084081D">
      <w:pPr>
        <w:spacing w:before="43" w:line="226" w:lineRule="exact"/>
        <w:ind w:left="144"/>
        <w:jc w:val="both"/>
        <w:rPr>
          <w:rFonts w:ascii="Calibri" w:hAnsi="Calibri" w:cs="Calibri"/>
          <w:sz w:val="22"/>
          <w:szCs w:val="22"/>
          <w:lang w:val="en-US"/>
        </w:rPr>
      </w:pPr>
      <w:hyperlink r:id="rId12">
        <w:r w:rsidR="002C40B2" w:rsidRPr="0084081D">
          <w:rPr>
            <w:rFonts w:ascii="Calibri" w:hAnsi="Calibri"/>
            <w:color w:val="0000FF"/>
            <w:sz w:val="22"/>
            <w:u w:val="single"/>
            <w:lang w:val="en-US"/>
          </w:rPr>
          <w:t>www.encj.eu</w:t>
        </w:r>
      </w:hyperlink>
    </w:p>
    <w:p w:rsidR="002C40B2" w:rsidRPr="0084081D" w:rsidRDefault="002C40B2" w:rsidP="0084081D">
      <w:pPr>
        <w:spacing w:before="42" w:line="226" w:lineRule="exact"/>
        <w:ind w:left="144"/>
        <w:jc w:val="both"/>
        <w:rPr>
          <w:rFonts w:ascii="Calibri" w:hAnsi="Calibri" w:cs="Calibri"/>
          <w:sz w:val="22"/>
          <w:szCs w:val="22"/>
          <w:lang w:val="en-US"/>
        </w:rPr>
      </w:pPr>
      <w:proofErr w:type="spellStart"/>
      <w:r w:rsidRPr="0084081D">
        <w:rPr>
          <w:rFonts w:ascii="Calibri" w:hAnsi="Calibri"/>
          <w:sz w:val="22"/>
          <w:lang w:val="en-US"/>
        </w:rPr>
        <w:t>office@encj.euENCJ</w:t>
      </w:r>
      <w:proofErr w:type="spellEnd"/>
      <w:r w:rsidRPr="0084081D">
        <w:rPr>
          <w:rFonts w:ascii="Calibri" w:hAnsi="Calibri"/>
          <w:sz w:val="22"/>
          <w:lang w:val="en-US"/>
        </w:rPr>
        <w:t xml:space="preserve"> report</w:t>
      </w:r>
    </w:p>
    <w:p w:rsidR="002C40B2" w:rsidRPr="0084081D" w:rsidRDefault="002C40B2" w:rsidP="0084081D">
      <w:pPr>
        <w:widowControl/>
        <w:kinsoku/>
        <w:overflowPunct/>
        <w:autoSpaceDE w:val="0"/>
        <w:autoSpaceDN w:val="0"/>
        <w:adjustRightInd w:val="0"/>
        <w:jc w:val="both"/>
        <w:textAlignment w:val="auto"/>
        <w:rPr>
          <w:lang w:val="en-US"/>
        </w:rPr>
        <w:sectPr w:rsidR="002C40B2" w:rsidRPr="0084081D">
          <w:pgSz w:w="11909" w:h="16838"/>
          <w:pgMar w:top="1400" w:right="1219" w:bottom="322" w:left="1270" w:header="720" w:footer="720" w:gutter="0"/>
          <w:cols w:space="720"/>
          <w:noEndnote/>
        </w:sectPr>
      </w:pPr>
    </w:p>
    <w:p w:rsidR="002C40B2" w:rsidRPr="00A405D6" w:rsidRDefault="002C40B2" w:rsidP="0084081D">
      <w:pPr>
        <w:spacing w:before="45" w:line="269" w:lineRule="exact"/>
        <w:ind w:left="72"/>
        <w:jc w:val="both"/>
        <w:rPr>
          <w:rFonts w:ascii="Calibri" w:hAnsi="Calibri" w:cs="Calibri"/>
          <w:b/>
          <w:bCs/>
          <w:color w:val="4F81BC"/>
          <w:sz w:val="26"/>
          <w:szCs w:val="26"/>
        </w:rPr>
      </w:pPr>
      <w:r>
        <w:rPr>
          <w:rFonts w:ascii="Calibri" w:hAnsi="Calibri"/>
          <w:b/>
          <w:color w:val="4F81BC"/>
          <w:sz w:val="26"/>
        </w:rPr>
        <w:lastRenderedPageBreak/>
        <w:t>Estándares anteriores – papel y participación de los miembros no judiciales</w:t>
      </w:r>
    </w:p>
    <w:p w:rsidR="002C40B2" w:rsidRPr="0005785B" w:rsidRDefault="002C40B2" w:rsidP="0084081D">
      <w:pPr>
        <w:spacing w:before="143" w:line="380" w:lineRule="exact"/>
        <w:ind w:left="72" w:right="144" w:firstLine="864"/>
        <w:jc w:val="both"/>
        <w:rPr>
          <w:rFonts w:ascii="Calibri" w:hAnsi="Calibri" w:cs="Calibri"/>
        </w:rPr>
      </w:pPr>
      <w:r w:rsidRPr="0005785B">
        <w:rPr>
          <w:rFonts w:ascii="Calibri" w:hAnsi="Calibri"/>
        </w:rPr>
        <w:t xml:space="preserve">La cuestión de la participación de los miembros no judiciales ya fue analizada en informes anteriores, en especial en el Informe sobre consejos de Justicia 2010-2011. El Equipo de Proyecto asume y coincide con la opinión expresada en el informe de que la participación efectiva de los miembros no judiciales en el trabajo de los consejos de Justicia y otros órganos relevantes ayuda a evitar, tanto </w:t>
      </w:r>
      <w:r w:rsidR="00A87FBB" w:rsidRPr="0005785B">
        <w:rPr>
          <w:rFonts w:ascii="Calibri" w:hAnsi="Calibri"/>
        </w:rPr>
        <w:t>en su manifestación</w:t>
      </w:r>
      <w:r w:rsidRPr="0005785B">
        <w:rPr>
          <w:rFonts w:ascii="Calibri" w:hAnsi="Calibri"/>
        </w:rPr>
        <w:t xml:space="preserve"> real como </w:t>
      </w:r>
      <w:r w:rsidR="00A87FBB" w:rsidRPr="0005785B">
        <w:rPr>
          <w:rFonts w:ascii="Calibri" w:hAnsi="Calibri"/>
        </w:rPr>
        <w:t xml:space="preserve">su </w:t>
      </w:r>
      <w:r w:rsidRPr="0005785B">
        <w:rPr>
          <w:rFonts w:ascii="Calibri" w:hAnsi="Calibri"/>
        </w:rPr>
        <w:t>perc</w:t>
      </w:r>
      <w:r w:rsidR="00A87FBB" w:rsidRPr="0005785B">
        <w:rPr>
          <w:rFonts w:ascii="Calibri" w:hAnsi="Calibri"/>
        </w:rPr>
        <w:t>epción</w:t>
      </w:r>
      <w:r w:rsidRPr="0005785B">
        <w:rPr>
          <w:rFonts w:ascii="Calibri" w:hAnsi="Calibri"/>
        </w:rPr>
        <w:t xml:space="preserve">, </w:t>
      </w:r>
      <w:r w:rsidRPr="0005785B">
        <w:rPr>
          <w:rFonts w:ascii="Calibri" w:hAnsi="Calibri"/>
          <w:i/>
        </w:rPr>
        <w:t>el</w:t>
      </w:r>
      <w:r w:rsidRPr="0005785B">
        <w:rPr>
          <w:rFonts w:ascii="Calibri" w:hAnsi="Calibri"/>
        </w:rPr>
        <w:t xml:space="preserve"> </w:t>
      </w:r>
      <w:r w:rsidRPr="0005785B">
        <w:rPr>
          <w:rFonts w:ascii="Calibri" w:hAnsi="Calibri"/>
          <w:i/>
        </w:rPr>
        <w:t xml:space="preserve">interés propio, la autoprotección o la </w:t>
      </w:r>
      <w:proofErr w:type="spellStart"/>
      <w:r w:rsidRPr="0005785B">
        <w:rPr>
          <w:rFonts w:ascii="Calibri" w:hAnsi="Calibri"/>
          <w:i/>
        </w:rPr>
        <w:t>autorreferencia</w:t>
      </w:r>
      <w:proofErr w:type="spellEnd"/>
      <w:r w:rsidRPr="0005785B">
        <w:rPr>
          <w:rFonts w:ascii="Calibri" w:hAnsi="Calibri"/>
          <w:i/>
        </w:rPr>
        <w:t xml:space="preserve"> dentro del poder judicial, así como aporta al poder judicial mayor legitimidad y fortalece </w:t>
      </w:r>
      <w:r w:rsidR="00A87FBB" w:rsidRPr="0005785B">
        <w:rPr>
          <w:rFonts w:ascii="Calibri" w:hAnsi="Calibri"/>
          <w:i/>
        </w:rPr>
        <w:t>su</w:t>
      </w:r>
      <w:r w:rsidRPr="0005785B">
        <w:rPr>
          <w:rFonts w:ascii="Calibri" w:hAnsi="Calibri"/>
          <w:i/>
        </w:rPr>
        <w:t xml:space="preserve"> papel como guardián y defensor de los derechos elementales de cada ciudadano </w:t>
      </w:r>
      <w:r w:rsidRPr="0005785B">
        <w:rPr>
          <w:rFonts w:ascii="Calibri" w:hAnsi="Calibri"/>
        </w:rPr>
        <w:t xml:space="preserve">(véase CONSEJOS DE JUSTICIA </w:t>
      </w:r>
      <w:r w:rsidRPr="0005785B">
        <w:rPr>
          <w:rFonts w:ascii="Calibri" w:hAnsi="Calibri"/>
          <w:b/>
        </w:rPr>
        <w:t xml:space="preserve">– </w:t>
      </w:r>
      <w:r w:rsidRPr="0005785B">
        <w:rPr>
          <w:rFonts w:ascii="Calibri" w:hAnsi="Calibri"/>
        </w:rPr>
        <w:t>Informe 2010-2011, apartado 2.4).</w:t>
      </w:r>
    </w:p>
    <w:p w:rsidR="002C40B2" w:rsidRPr="0005785B" w:rsidRDefault="002C40B2" w:rsidP="0084081D">
      <w:pPr>
        <w:spacing w:before="116" w:line="380" w:lineRule="exact"/>
        <w:ind w:left="72" w:right="144" w:firstLine="864"/>
        <w:jc w:val="both"/>
        <w:rPr>
          <w:rFonts w:ascii="Calibri" w:hAnsi="Calibri" w:cs="Calibri"/>
          <w:spacing w:val="-4"/>
        </w:rPr>
      </w:pPr>
      <w:r w:rsidRPr="0005785B">
        <w:rPr>
          <w:rFonts w:ascii="Calibri" w:hAnsi="Calibri"/>
          <w:spacing w:val="-4"/>
        </w:rPr>
        <w:t xml:space="preserve">Existe un consenso internacional incipiente sobre </w:t>
      </w:r>
      <w:r w:rsidR="00A87FBB" w:rsidRPr="0005785B">
        <w:rPr>
          <w:rFonts w:ascii="Calibri" w:hAnsi="Calibri"/>
          <w:spacing w:val="-4"/>
        </w:rPr>
        <w:t>el hecho de que l</w:t>
      </w:r>
      <w:r w:rsidRPr="0005785B">
        <w:rPr>
          <w:rFonts w:ascii="Calibri" w:hAnsi="Calibri"/>
          <w:spacing w:val="-4"/>
        </w:rPr>
        <w:t xml:space="preserve">os consejos de Justicia </w:t>
      </w:r>
      <w:r w:rsidR="00A87FBB" w:rsidRPr="0005785B">
        <w:rPr>
          <w:rFonts w:ascii="Calibri" w:hAnsi="Calibri"/>
          <w:spacing w:val="-4"/>
        </w:rPr>
        <w:t>cuenten</w:t>
      </w:r>
      <w:r w:rsidRPr="0005785B">
        <w:rPr>
          <w:rFonts w:ascii="Calibri" w:hAnsi="Calibri"/>
          <w:spacing w:val="-4"/>
        </w:rPr>
        <w:t xml:space="preserve"> con un amplio número de miembros </w:t>
      </w:r>
      <w:r w:rsidR="00A87FBB" w:rsidRPr="0005785B">
        <w:rPr>
          <w:rFonts w:ascii="Calibri" w:hAnsi="Calibri"/>
          <w:spacing w:val="-4"/>
        </w:rPr>
        <w:t>entre los que los jueces sean</w:t>
      </w:r>
      <w:r w:rsidRPr="0005785B">
        <w:rPr>
          <w:rFonts w:ascii="Calibri" w:hAnsi="Calibri"/>
          <w:spacing w:val="-4"/>
        </w:rPr>
        <w:t xml:space="preserve"> mayoría, pero que prevea también la participación de los miembros no judiciales:</w:t>
      </w:r>
    </w:p>
    <w:p w:rsidR="002C40B2" w:rsidRPr="0005785B" w:rsidRDefault="002C40B2" w:rsidP="0084081D">
      <w:pPr>
        <w:spacing w:before="128" w:line="380" w:lineRule="exact"/>
        <w:ind w:left="72" w:right="144" w:firstLine="864"/>
        <w:jc w:val="both"/>
        <w:rPr>
          <w:rFonts w:ascii="Calibri" w:hAnsi="Calibri" w:cs="Calibri"/>
        </w:rPr>
      </w:pPr>
      <w:r w:rsidRPr="0005785B">
        <w:rPr>
          <w:rFonts w:ascii="Calibri" w:hAnsi="Calibri"/>
          <w:i/>
        </w:rPr>
        <w:t xml:space="preserve">Los modelos más </w:t>
      </w:r>
      <w:r w:rsidR="00A87FBB" w:rsidRPr="0005785B">
        <w:rPr>
          <w:rFonts w:ascii="Calibri" w:hAnsi="Calibri"/>
          <w:i/>
        </w:rPr>
        <w:t>eficaces</w:t>
      </w:r>
      <w:r w:rsidRPr="0005785B">
        <w:rPr>
          <w:rFonts w:ascii="Calibri" w:hAnsi="Calibri"/>
          <w:i/>
        </w:rPr>
        <w:t xml:space="preserve"> resultan ser aquellos con representación de una combinación de miembros elegidos y/o nombrados entre los juristas, los profesores universitarios o la sociedad civil, con poderes lo bastante amplios como para promover tanto la independencia como la rendición de cuentas de los jueces </w:t>
      </w:r>
      <w:r w:rsidRPr="0005785B">
        <w:rPr>
          <w:rFonts w:ascii="Calibri" w:hAnsi="Calibri"/>
        </w:rPr>
        <w:t xml:space="preserve">(CONSEJOS DE JUSTICIA </w:t>
      </w:r>
      <w:r w:rsidRPr="0005785B">
        <w:rPr>
          <w:rFonts w:ascii="Calibri" w:hAnsi="Calibri"/>
          <w:b/>
        </w:rPr>
        <w:t xml:space="preserve">– </w:t>
      </w:r>
      <w:r w:rsidRPr="0005785B">
        <w:rPr>
          <w:rFonts w:ascii="Calibri" w:hAnsi="Calibri"/>
        </w:rPr>
        <w:t>Informe 2010-2011, apartado 2.2).</w:t>
      </w:r>
    </w:p>
    <w:p w:rsidR="002C40B2" w:rsidRPr="0005785B" w:rsidRDefault="002C40B2" w:rsidP="0084081D">
      <w:pPr>
        <w:spacing w:before="128" w:line="380" w:lineRule="exact"/>
        <w:ind w:left="72" w:right="144" w:firstLine="864"/>
        <w:jc w:val="both"/>
        <w:rPr>
          <w:rFonts w:ascii="Calibri" w:hAnsi="Calibri" w:cs="Calibri"/>
          <w:b/>
          <w:bCs/>
        </w:rPr>
      </w:pPr>
      <w:r w:rsidRPr="0005785B">
        <w:rPr>
          <w:rFonts w:ascii="Calibri" w:hAnsi="Calibri"/>
          <w:b/>
        </w:rPr>
        <w:t xml:space="preserve">El Equipo de Proyecto está plenamente satisfecho </w:t>
      </w:r>
      <w:r w:rsidR="00A87FBB" w:rsidRPr="0005785B">
        <w:rPr>
          <w:rFonts w:ascii="Calibri" w:hAnsi="Calibri"/>
          <w:b/>
        </w:rPr>
        <w:t>con</w:t>
      </w:r>
      <w:r w:rsidRPr="0005785B">
        <w:rPr>
          <w:rFonts w:ascii="Calibri" w:hAnsi="Calibri"/>
          <w:b/>
        </w:rPr>
        <w:t xml:space="preserve"> el hecho de que la composición de los consejos de Justicia y de todos los demás órganos relevantes </w:t>
      </w:r>
      <w:r w:rsidRPr="0005785B">
        <w:rPr>
          <w:rFonts w:ascii="Calibri" w:hAnsi="Calibri"/>
          <w:b/>
          <w:i/>
        </w:rPr>
        <w:t xml:space="preserve">deba </w:t>
      </w:r>
      <w:r w:rsidR="00A87FBB" w:rsidRPr="0005785B">
        <w:rPr>
          <w:rFonts w:ascii="Calibri" w:hAnsi="Calibri"/>
          <w:b/>
        </w:rPr>
        <w:t>incluir un</w:t>
      </w:r>
      <w:r w:rsidRPr="0005785B">
        <w:rPr>
          <w:rFonts w:ascii="Calibri" w:hAnsi="Calibri"/>
          <w:b/>
        </w:rPr>
        <w:t>a representación de miembros no judiciales.</w:t>
      </w:r>
    </w:p>
    <w:p w:rsidR="002C40B2" w:rsidRPr="00A405D6" w:rsidRDefault="002C40B2" w:rsidP="0084081D">
      <w:pPr>
        <w:spacing w:before="360" w:line="380" w:lineRule="exact"/>
        <w:ind w:left="74"/>
        <w:jc w:val="both"/>
        <w:rPr>
          <w:rFonts w:ascii="Calibri" w:hAnsi="Calibri" w:cs="Calibri"/>
          <w:b/>
          <w:bCs/>
          <w:color w:val="4F81BC"/>
          <w:sz w:val="26"/>
          <w:szCs w:val="26"/>
        </w:rPr>
      </w:pPr>
      <w:r>
        <w:rPr>
          <w:rFonts w:ascii="Calibri" w:hAnsi="Calibri"/>
          <w:b/>
          <w:color w:val="4F81BC"/>
          <w:sz w:val="26"/>
        </w:rPr>
        <w:t>Composición de los consejos de Justicia y otros órganos relevantes</w:t>
      </w:r>
    </w:p>
    <w:p w:rsidR="002C40B2" w:rsidRPr="0005785B" w:rsidRDefault="002C40B2" w:rsidP="0084081D">
      <w:pPr>
        <w:spacing w:before="132" w:line="380" w:lineRule="exact"/>
        <w:ind w:left="72" w:right="144" w:firstLine="864"/>
        <w:jc w:val="both"/>
        <w:rPr>
          <w:rFonts w:ascii="Calibri" w:hAnsi="Calibri" w:cs="Calibri"/>
        </w:rPr>
      </w:pPr>
      <w:r w:rsidRPr="0005785B">
        <w:rPr>
          <w:rFonts w:ascii="Calibri" w:hAnsi="Calibri"/>
        </w:rPr>
        <w:t xml:space="preserve">La cuestión de la composición de los consejos de Justicia y otros órganos relevantes, en lo relativo a la proporción de miembros no judiciales, ya ha sido estudiada y los estándares mínimos ya han sido propuestos desde el </w:t>
      </w:r>
      <w:r w:rsidR="00F764B5" w:rsidRPr="0005785B">
        <w:rPr>
          <w:rFonts w:ascii="Calibri" w:hAnsi="Calibri"/>
        </w:rPr>
        <w:t>lado</w:t>
      </w:r>
      <w:r w:rsidRPr="0005785B">
        <w:rPr>
          <w:rFonts w:ascii="Calibri" w:hAnsi="Calibri"/>
        </w:rPr>
        <w:t xml:space="preserve"> </w:t>
      </w:r>
      <w:r w:rsidR="00F764B5" w:rsidRPr="0005785B">
        <w:rPr>
          <w:rFonts w:ascii="Calibri" w:hAnsi="Calibri"/>
        </w:rPr>
        <w:t>inverso</w:t>
      </w:r>
      <w:r w:rsidRPr="0005785B">
        <w:rPr>
          <w:rFonts w:ascii="Calibri" w:hAnsi="Calibri"/>
        </w:rPr>
        <w:t>, es decir, la participación de los jueces en los consejos de Justicia:</w:t>
      </w:r>
    </w:p>
    <w:p w:rsidR="002C40B2" w:rsidRPr="0005785B" w:rsidRDefault="002C40B2" w:rsidP="0084081D">
      <w:pPr>
        <w:spacing w:before="118" w:line="380" w:lineRule="exact"/>
        <w:ind w:left="72" w:right="144" w:firstLine="864"/>
        <w:jc w:val="both"/>
        <w:rPr>
          <w:rFonts w:ascii="Calibri" w:hAnsi="Calibri" w:cs="Calibri"/>
          <w:i/>
          <w:iCs/>
        </w:rPr>
      </w:pPr>
      <w:r w:rsidRPr="0005785B">
        <w:rPr>
          <w:rFonts w:ascii="Calibri" w:hAnsi="Calibri"/>
          <w:i/>
        </w:rPr>
        <w:t xml:space="preserve">Tal como se indicó en anteriores informes, también el organismo responsable de los nombramientos judiciales debería incluir una </w:t>
      </w:r>
      <w:r w:rsidRPr="0005785B">
        <w:rPr>
          <w:rFonts w:ascii="Calibri" w:hAnsi="Calibri"/>
          <w:i/>
          <w:u w:val="single"/>
        </w:rPr>
        <w:t>participación significativa</w:t>
      </w:r>
      <w:r w:rsidRPr="0005785B">
        <w:rPr>
          <w:rFonts w:ascii="Calibri" w:hAnsi="Calibri"/>
          <w:i/>
        </w:rPr>
        <w:t xml:space="preserve"> de profesionales o expertos jurídicos (incluyendo jueces, profesores universitarios, abogados, fiscales y otros profesionales con experiencia) y podría contar también con miembros legos independientes que representen a la sociedad civil y que hayan sido designados entre</w:t>
      </w:r>
    </w:p>
    <w:p w:rsidR="002C40B2" w:rsidRPr="00A405D6" w:rsidRDefault="002C40B2" w:rsidP="0084081D">
      <w:pPr>
        <w:spacing w:before="225" w:line="225" w:lineRule="exact"/>
        <w:ind w:left="72" w:right="90"/>
        <w:jc w:val="right"/>
        <w:rPr>
          <w:rFonts w:ascii="Calibri" w:hAnsi="Calibri" w:cs="Calibri"/>
          <w:sz w:val="22"/>
          <w:szCs w:val="22"/>
        </w:rPr>
      </w:pPr>
      <w:r>
        <w:rPr>
          <w:rFonts w:ascii="Calibri" w:hAnsi="Calibri"/>
          <w:sz w:val="22"/>
        </w:rPr>
        <w:t>8</w:t>
      </w:r>
    </w:p>
    <w:p w:rsidR="002C40B2" w:rsidRPr="00A405D6" w:rsidRDefault="002C40B2" w:rsidP="0084081D">
      <w:pPr>
        <w:spacing w:before="44" w:line="226" w:lineRule="exact"/>
        <w:ind w:left="72"/>
        <w:jc w:val="both"/>
        <w:rPr>
          <w:rFonts w:ascii="Calibri" w:hAnsi="Calibri" w:cs="Calibri"/>
          <w:sz w:val="22"/>
          <w:szCs w:val="22"/>
        </w:rPr>
      </w:pPr>
      <w:r>
        <w:rPr>
          <w:rFonts w:ascii="Calibri" w:hAnsi="Calibri"/>
          <w:sz w:val="22"/>
        </w:rPr>
        <w:t>Proyecto de la RECJ sobre los miembros no judiciales en la gobernanza judicial 2015-2016 - aprobado por la</w:t>
      </w:r>
      <w:r w:rsidR="0005785B">
        <w:rPr>
          <w:rFonts w:ascii="Calibri" w:hAnsi="Calibri"/>
          <w:sz w:val="22"/>
        </w:rPr>
        <w:t xml:space="preserve"> </w:t>
      </w:r>
      <w:r>
        <w:rPr>
          <w:rFonts w:ascii="Calibri" w:hAnsi="Calibri"/>
          <w:sz w:val="22"/>
        </w:rPr>
        <w:t>Asamblea General el 3 de junio de 2016</w:t>
      </w:r>
    </w:p>
    <w:p w:rsidR="002C40B2" w:rsidRPr="0084081D" w:rsidRDefault="003D3904" w:rsidP="0084081D">
      <w:pPr>
        <w:spacing w:before="43" w:line="226" w:lineRule="exact"/>
        <w:ind w:left="72"/>
        <w:jc w:val="both"/>
        <w:rPr>
          <w:rFonts w:ascii="Calibri" w:hAnsi="Calibri" w:cs="Calibri"/>
          <w:sz w:val="22"/>
          <w:szCs w:val="22"/>
          <w:lang w:val="en-US"/>
        </w:rPr>
      </w:pPr>
      <w:hyperlink r:id="rId13">
        <w:r w:rsidR="002C40B2" w:rsidRPr="0084081D">
          <w:rPr>
            <w:rFonts w:ascii="Calibri" w:hAnsi="Calibri"/>
            <w:color w:val="0000FF"/>
            <w:sz w:val="22"/>
            <w:u w:val="single"/>
            <w:lang w:val="en-US"/>
          </w:rPr>
          <w:t>www.encj.eu</w:t>
        </w:r>
      </w:hyperlink>
    </w:p>
    <w:p w:rsidR="002C40B2" w:rsidRPr="0084081D" w:rsidRDefault="002C40B2" w:rsidP="0084081D">
      <w:pPr>
        <w:spacing w:before="42" w:line="226" w:lineRule="exact"/>
        <w:ind w:left="72"/>
        <w:jc w:val="both"/>
        <w:rPr>
          <w:rFonts w:ascii="Calibri" w:hAnsi="Calibri" w:cs="Calibri"/>
          <w:sz w:val="22"/>
          <w:szCs w:val="22"/>
          <w:lang w:val="en-US"/>
        </w:rPr>
      </w:pPr>
      <w:proofErr w:type="spellStart"/>
      <w:r w:rsidRPr="0084081D">
        <w:rPr>
          <w:rFonts w:ascii="Calibri" w:hAnsi="Calibri"/>
          <w:sz w:val="22"/>
          <w:lang w:val="en-US"/>
        </w:rPr>
        <w:t>office@encj.euENCJ</w:t>
      </w:r>
      <w:proofErr w:type="spellEnd"/>
      <w:r w:rsidRPr="0084081D">
        <w:rPr>
          <w:rFonts w:ascii="Calibri" w:hAnsi="Calibri"/>
          <w:sz w:val="22"/>
          <w:lang w:val="en-US"/>
        </w:rPr>
        <w:t xml:space="preserve"> report</w:t>
      </w:r>
    </w:p>
    <w:p w:rsidR="002C40B2" w:rsidRPr="0084081D" w:rsidRDefault="002C40B2" w:rsidP="0084081D">
      <w:pPr>
        <w:widowControl/>
        <w:kinsoku/>
        <w:overflowPunct/>
        <w:autoSpaceDE w:val="0"/>
        <w:autoSpaceDN w:val="0"/>
        <w:adjustRightInd w:val="0"/>
        <w:jc w:val="both"/>
        <w:textAlignment w:val="auto"/>
        <w:rPr>
          <w:lang w:val="en-US"/>
        </w:rPr>
        <w:sectPr w:rsidR="002C40B2" w:rsidRPr="0084081D">
          <w:pgSz w:w="11909" w:h="16838"/>
          <w:pgMar w:top="1400" w:right="1212" w:bottom="322" w:left="1277" w:header="720" w:footer="720" w:gutter="0"/>
          <w:cols w:space="720"/>
          <w:noEndnote/>
        </w:sectPr>
      </w:pPr>
    </w:p>
    <w:p w:rsidR="002C40B2" w:rsidRPr="00A405D6" w:rsidRDefault="002C40B2" w:rsidP="0084081D">
      <w:pPr>
        <w:spacing w:before="14" w:line="439" w:lineRule="exact"/>
        <w:ind w:left="144" w:right="144"/>
        <w:jc w:val="both"/>
        <w:rPr>
          <w:rFonts w:ascii="Calibri" w:hAnsi="Calibri" w:cs="Calibri"/>
          <w:sz w:val="25"/>
          <w:szCs w:val="25"/>
        </w:rPr>
      </w:pPr>
      <w:proofErr w:type="gramStart"/>
      <w:r>
        <w:rPr>
          <w:rFonts w:ascii="Calibri" w:hAnsi="Calibri"/>
          <w:i/>
          <w:sz w:val="25"/>
        </w:rPr>
        <w:lastRenderedPageBreak/>
        <w:t>personas</w:t>
      </w:r>
      <w:proofErr w:type="gramEnd"/>
      <w:r>
        <w:rPr>
          <w:rFonts w:ascii="Calibri" w:hAnsi="Calibri"/>
          <w:i/>
          <w:sz w:val="25"/>
        </w:rPr>
        <w:t xml:space="preserve"> de reconocido prestigio en lo que respecta a sus capacidades y con experiencia en asuntos como los recursos humanos </w:t>
      </w:r>
      <w:r>
        <w:rPr>
          <w:rFonts w:ascii="Calibri" w:hAnsi="Calibri"/>
          <w:sz w:val="25"/>
        </w:rPr>
        <w:t>(C</w:t>
      </w:r>
      <w:r>
        <w:rPr>
          <w:rFonts w:ascii="Calibri" w:hAnsi="Calibri"/>
          <w:sz w:val="19"/>
        </w:rPr>
        <w:t>ONSOLIDAR LA CONFIANZA MUTUA</w:t>
      </w:r>
      <w:r>
        <w:rPr>
          <w:rFonts w:ascii="Calibri" w:hAnsi="Calibri"/>
          <w:sz w:val="25"/>
        </w:rPr>
        <w:t>: E</w:t>
      </w:r>
      <w:r>
        <w:rPr>
          <w:rFonts w:ascii="Calibri" w:hAnsi="Calibri"/>
          <w:sz w:val="19"/>
        </w:rPr>
        <w:t xml:space="preserve">STÁNDARES Y </w:t>
      </w:r>
      <w:r>
        <w:rPr>
          <w:rFonts w:ascii="Calibri" w:hAnsi="Calibri"/>
          <w:sz w:val="25"/>
        </w:rPr>
        <w:t>E</w:t>
      </w:r>
      <w:r>
        <w:rPr>
          <w:rFonts w:ascii="Calibri" w:hAnsi="Calibri"/>
          <w:sz w:val="19"/>
        </w:rPr>
        <w:t xml:space="preserve">VALUACIÓN </w:t>
      </w:r>
      <w:r>
        <w:rPr>
          <w:rFonts w:ascii="Calibri" w:hAnsi="Calibri"/>
          <w:sz w:val="25"/>
        </w:rPr>
        <w:t>- Informe 2010-2011, apartado 2.2; E</w:t>
      </w:r>
      <w:r>
        <w:rPr>
          <w:rFonts w:ascii="Calibri" w:hAnsi="Calibri"/>
          <w:sz w:val="19"/>
        </w:rPr>
        <w:t>STÁNDARES PARA LA SELECCIÓN</w:t>
      </w:r>
      <w:r>
        <w:rPr>
          <w:rFonts w:ascii="Calibri" w:hAnsi="Calibri"/>
          <w:sz w:val="25"/>
        </w:rPr>
        <w:t xml:space="preserve">, </w:t>
      </w:r>
      <w:r>
        <w:rPr>
          <w:rFonts w:ascii="Calibri" w:hAnsi="Calibri"/>
          <w:sz w:val="19"/>
        </w:rPr>
        <w:t xml:space="preserve">EL NOMBRAMIENTO Y LA PROMOCIÓN DE LOS JUECES </w:t>
      </w:r>
      <w:r>
        <w:rPr>
          <w:rFonts w:ascii="Calibri" w:hAnsi="Calibri"/>
          <w:sz w:val="25"/>
        </w:rPr>
        <w:t>- Informe 2011-2012 apartado 3.5).</w:t>
      </w:r>
    </w:p>
    <w:p w:rsidR="002C40B2" w:rsidRPr="00A405D6" w:rsidRDefault="002C40B2" w:rsidP="0084081D">
      <w:pPr>
        <w:spacing w:before="121" w:line="439" w:lineRule="exact"/>
        <w:ind w:left="144" w:right="144" w:firstLine="792"/>
        <w:jc w:val="both"/>
        <w:rPr>
          <w:rFonts w:ascii="Calibri" w:hAnsi="Calibri" w:cs="Calibri"/>
          <w:b/>
          <w:bCs/>
          <w:spacing w:val="-4"/>
        </w:rPr>
      </w:pPr>
      <w:r>
        <w:rPr>
          <w:rFonts w:ascii="Calibri" w:hAnsi="Calibri"/>
          <w:spacing w:val="-4"/>
          <w:sz w:val="25"/>
        </w:rPr>
        <w:t xml:space="preserve">La exigencia de una participación efectiva de los miembros no judiciales solo puede cumplirse si los consejos de Justicia cuentan con suficientes miembros no judiciales, con los mismos derechos, en especial derecho a voto, y con </w:t>
      </w:r>
      <w:r w:rsidR="00D912A1">
        <w:rPr>
          <w:rFonts w:ascii="Calibri" w:hAnsi="Calibri"/>
          <w:spacing w:val="-4"/>
          <w:sz w:val="25"/>
        </w:rPr>
        <w:t xml:space="preserve">el </w:t>
      </w:r>
      <w:r>
        <w:rPr>
          <w:rFonts w:ascii="Calibri" w:hAnsi="Calibri"/>
          <w:spacing w:val="-4"/>
          <w:sz w:val="25"/>
        </w:rPr>
        <w:t>apoyo práctico y administrativo adecuado para garantizar que puedan participar plenamente en el trabajo y en la toma de decisiones de los consejos de Justicia. El Equipo de Proyecto, tras un estudio en profundidad, considera que</w:t>
      </w:r>
      <w:r w:rsidR="00D912A1">
        <w:rPr>
          <w:rFonts w:ascii="Calibri" w:hAnsi="Calibri"/>
          <w:spacing w:val="-4"/>
          <w:sz w:val="25"/>
        </w:rPr>
        <w:t>,</w:t>
      </w:r>
      <w:r>
        <w:rPr>
          <w:rFonts w:ascii="Calibri" w:hAnsi="Calibri"/>
          <w:spacing w:val="-4"/>
          <w:sz w:val="25"/>
        </w:rPr>
        <w:t xml:space="preserve"> en general</w:t>
      </w:r>
      <w:r w:rsidR="00D912A1">
        <w:rPr>
          <w:rFonts w:ascii="Calibri" w:hAnsi="Calibri"/>
          <w:spacing w:val="-4"/>
          <w:sz w:val="25"/>
        </w:rPr>
        <w:t>,</w:t>
      </w:r>
      <w:r>
        <w:rPr>
          <w:rFonts w:ascii="Calibri" w:hAnsi="Calibri"/>
          <w:spacing w:val="-4"/>
          <w:sz w:val="25"/>
        </w:rPr>
        <w:t xml:space="preserve"> </w:t>
      </w:r>
      <w:r>
        <w:rPr>
          <w:rFonts w:ascii="Calibri" w:hAnsi="Calibri"/>
          <w:b/>
          <w:spacing w:val="-4"/>
        </w:rPr>
        <w:t xml:space="preserve">la proporción de miembros no judiciales debe representar entre 1/3 y el 50%, o una proporción que garantice que la participación de los miembros no judiciales en las actividades de los consejos de Justicia sea efectiva, lo que </w:t>
      </w:r>
      <w:r w:rsidR="00D912A1">
        <w:rPr>
          <w:rFonts w:ascii="Calibri" w:hAnsi="Calibri"/>
          <w:b/>
          <w:spacing w:val="-4"/>
        </w:rPr>
        <w:t>impl</w:t>
      </w:r>
      <w:r>
        <w:rPr>
          <w:rFonts w:ascii="Calibri" w:hAnsi="Calibri"/>
          <w:b/>
          <w:spacing w:val="-4"/>
        </w:rPr>
        <w:t>ica que pueda contribuir significativamente a su procedimiento de toma de decisiones.</w:t>
      </w:r>
    </w:p>
    <w:p w:rsidR="002C40B2" w:rsidRPr="00A405D6" w:rsidRDefault="002C40B2" w:rsidP="0084081D">
      <w:pPr>
        <w:spacing w:before="879" w:line="264" w:lineRule="exact"/>
        <w:ind w:left="144"/>
        <w:jc w:val="both"/>
        <w:rPr>
          <w:rFonts w:ascii="Calibri" w:hAnsi="Calibri" w:cs="Calibri"/>
          <w:b/>
          <w:bCs/>
          <w:color w:val="4F81BC"/>
          <w:sz w:val="26"/>
          <w:szCs w:val="26"/>
        </w:rPr>
      </w:pPr>
      <w:r>
        <w:rPr>
          <w:rFonts w:ascii="Calibri" w:hAnsi="Calibri"/>
          <w:b/>
          <w:color w:val="4F81BC"/>
          <w:sz w:val="26"/>
        </w:rPr>
        <w:t>Nombramiento y promoción, procedimientos disciplinarios y de reclamación</w:t>
      </w:r>
    </w:p>
    <w:p w:rsidR="002C40B2" w:rsidRPr="00A405D6" w:rsidRDefault="002C40B2" w:rsidP="0084081D">
      <w:pPr>
        <w:spacing w:before="136" w:line="439" w:lineRule="exact"/>
        <w:ind w:left="144" w:right="144" w:firstLine="792"/>
        <w:jc w:val="both"/>
        <w:rPr>
          <w:rFonts w:ascii="Calibri" w:hAnsi="Calibri" w:cs="Calibri"/>
          <w:i/>
          <w:iCs/>
          <w:spacing w:val="-4"/>
        </w:rPr>
      </w:pPr>
      <w:r>
        <w:rPr>
          <w:rFonts w:ascii="Calibri" w:hAnsi="Calibri"/>
          <w:spacing w:val="-4"/>
          <w:sz w:val="25"/>
        </w:rPr>
        <w:t xml:space="preserve">Coincidimos con la propuesta en Estándares judiciales mínimos II, en su apartado 3.5, de que </w:t>
      </w:r>
      <w:r>
        <w:rPr>
          <w:rFonts w:ascii="Calibri" w:hAnsi="Calibri"/>
          <w:b/>
          <w:spacing w:val="-4"/>
        </w:rPr>
        <w:t xml:space="preserve">los miembros no judiciales (sin importar cuáles sean sus antecedentes profesionales) </w:t>
      </w:r>
      <w:r>
        <w:rPr>
          <w:rFonts w:ascii="Calibri" w:hAnsi="Calibri"/>
          <w:b/>
          <w:i/>
          <w:spacing w:val="-4"/>
        </w:rPr>
        <w:t xml:space="preserve">deben </w:t>
      </w:r>
      <w:r>
        <w:rPr>
          <w:rFonts w:ascii="Calibri" w:hAnsi="Calibri"/>
          <w:b/>
          <w:spacing w:val="-4"/>
        </w:rPr>
        <w:t>participar en cualquier procedimiento de selección para el nombramiento de nuevos puestos de jue</w:t>
      </w:r>
      <w:r w:rsidR="00CA1F5D">
        <w:rPr>
          <w:rFonts w:ascii="Calibri" w:hAnsi="Calibri"/>
          <w:b/>
          <w:spacing w:val="-4"/>
        </w:rPr>
        <w:t>z</w:t>
      </w:r>
      <w:r>
        <w:rPr>
          <w:rFonts w:ascii="Calibri" w:hAnsi="Calibri"/>
          <w:b/>
          <w:spacing w:val="-4"/>
        </w:rPr>
        <w:t xml:space="preserve"> y la promoción a puestos superiores en la judicatura</w:t>
      </w:r>
      <w:r>
        <w:rPr>
          <w:rFonts w:ascii="Calibri" w:hAnsi="Calibri"/>
          <w:spacing w:val="-4"/>
          <w:sz w:val="25"/>
        </w:rPr>
        <w:t xml:space="preserve">: </w:t>
      </w:r>
      <w:r>
        <w:rPr>
          <w:rFonts w:ascii="Calibri" w:hAnsi="Calibri"/>
          <w:i/>
          <w:spacing w:val="-4"/>
        </w:rPr>
        <w:t xml:space="preserve">El organismo responsable de los nombramientos judiciales debería incluir una participación significativa de profesionales o expertos jurídicos (incluyendo jueces, profesores universitarios, abogados, fiscales y otros profesionales con experiencia) y podría contar también con miembros legos independientes que representen </w:t>
      </w:r>
      <w:r>
        <w:rPr>
          <w:rFonts w:ascii="Calibri" w:hAnsi="Calibri"/>
          <w:i/>
          <w:sz w:val="25"/>
        </w:rPr>
        <w:t>a la sociedad civil y que hayan sido designados entre personas de reconocido prestigio en lo que respecta a sus capacidades y con experiencia en asuntos como los recursos humanos.</w:t>
      </w:r>
    </w:p>
    <w:p w:rsidR="002C40B2" w:rsidRPr="00A405D6" w:rsidRDefault="002C40B2" w:rsidP="0084081D">
      <w:pPr>
        <w:spacing w:before="120" w:line="439" w:lineRule="exact"/>
        <w:ind w:left="144" w:right="144" w:firstLine="792"/>
        <w:jc w:val="both"/>
        <w:rPr>
          <w:rFonts w:ascii="Calibri" w:hAnsi="Calibri" w:cs="Calibri"/>
          <w:sz w:val="25"/>
          <w:szCs w:val="25"/>
        </w:rPr>
      </w:pPr>
      <w:r>
        <w:rPr>
          <w:rFonts w:ascii="Calibri" w:hAnsi="Calibri"/>
          <w:sz w:val="25"/>
        </w:rPr>
        <w:t>Deben aplicarse criterios similares a la participación de los miembros no judiciales en procedimientos disciplinarios y de reclamación.</w:t>
      </w:r>
    </w:p>
    <w:p w:rsidR="002C40B2" w:rsidRPr="00A405D6" w:rsidRDefault="002C40B2" w:rsidP="0084081D">
      <w:pPr>
        <w:spacing w:before="960" w:line="225" w:lineRule="exact"/>
        <w:ind w:right="91"/>
        <w:jc w:val="right"/>
        <w:rPr>
          <w:rFonts w:ascii="Calibri" w:hAnsi="Calibri" w:cs="Calibri"/>
          <w:sz w:val="22"/>
          <w:szCs w:val="22"/>
        </w:rPr>
      </w:pPr>
      <w:r>
        <w:rPr>
          <w:rFonts w:ascii="Calibri" w:hAnsi="Calibri"/>
          <w:sz w:val="22"/>
        </w:rPr>
        <w:t>9</w:t>
      </w:r>
    </w:p>
    <w:p w:rsidR="002C40B2" w:rsidRPr="00A405D6" w:rsidRDefault="002C40B2" w:rsidP="0084081D">
      <w:pPr>
        <w:spacing w:before="44" w:line="226" w:lineRule="exact"/>
        <w:ind w:left="144"/>
        <w:jc w:val="both"/>
        <w:rPr>
          <w:rFonts w:ascii="Calibri" w:hAnsi="Calibri" w:cs="Calibri"/>
          <w:sz w:val="22"/>
          <w:szCs w:val="22"/>
        </w:rPr>
      </w:pPr>
      <w:r>
        <w:rPr>
          <w:rFonts w:ascii="Calibri" w:hAnsi="Calibri"/>
          <w:sz w:val="22"/>
        </w:rPr>
        <w:t>Proyecto de la RECJ sobre los miembros no judiciales en la gobernanza judicial 2015-2016 - aprobado por la</w:t>
      </w:r>
      <w:r w:rsidR="00CA1F5D">
        <w:rPr>
          <w:rFonts w:ascii="Calibri" w:hAnsi="Calibri"/>
          <w:sz w:val="22"/>
        </w:rPr>
        <w:t xml:space="preserve"> </w:t>
      </w:r>
      <w:r>
        <w:rPr>
          <w:rFonts w:ascii="Calibri" w:hAnsi="Calibri"/>
          <w:sz w:val="22"/>
        </w:rPr>
        <w:t>Asamblea General el 3 de junio de 2016</w:t>
      </w:r>
    </w:p>
    <w:p w:rsidR="002C40B2" w:rsidRPr="0084081D" w:rsidRDefault="003D3904" w:rsidP="0084081D">
      <w:pPr>
        <w:spacing w:before="43" w:line="226" w:lineRule="exact"/>
        <w:ind w:left="144"/>
        <w:jc w:val="both"/>
        <w:rPr>
          <w:rFonts w:ascii="Calibri" w:hAnsi="Calibri" w:cs="Calibri"/>
          <w:sz w:val="22"/>
          <w:szCs w:val="22"/>
          <w:lang w:val="en-US"/>
        </w:rPr>
      </w:pPr>
      <w:hyperlink r:id="rId14">
        <w:r w:rsidR="002C40B2" w:rsidRPr="0084081D">
          <w:rPr>
            <w:rFonts w:ascii="Calibri" w:hAnsi="Calibri"/>
            <w:color w:val="0000FF"/>
            <w:sz w:val="22"/>
            <w:u w:val="single"/>
            <w:lang w:val="en-US"/>
          </w:rPr>
          <w:t>www.encj.eu</w:t>
        </w:r>
      </w:hyperlink>
    </w:p>
    <w:p w:rsidR="002C40B2" w:rsidRPr="0084081D" w:rsidRDefault="002C40B2" w:rsidP="0084081D">
      <w:pPr>
        <w:spacing w:before="42" w:line="226" w:lineRule="exact"/>
        <w:ind w:left="144"/>
        <w:jc w:val="both"/>
        <w:rPr>
          <w:rFonts w:ascii="Calibri" w:hAnsi="Calibri" w:cs="Calibri"/>
          <w:sz w:val="22"/>
          <w:szCs w:val="22"/>
          <w:lang w:val="en-US"/>
        </w:rPr>
      </w:pPr>
      <w:proofErr w:type="spellStart"/>
      <w:r w:rsidRPr="0084081D">
        <w:rPr>
          <w:rFonts w:ascii="Calibri" w:hAnsi="Calibri"/>
          <w:sz w:val="22"/>
          <w:lang w:val="en-US"/>
        </w:rPr>
        <w:t>office@encj.euENCJ</w:t>
      </w:r>
      <w:proofErr w:type="spellEnd"/>
      <w:r w:rsidRPr="0084081D">
        <w:rPr>
          <w:rFonts w:ascii="Calibri" w:hAnsi="Calibri"/>
          <w:sz w:val="22"/>
          <w:lang w:val="en-US"/>
        </w:rPr>
        <w:t xml:space="preserve"> report</w:t>
      </w:r>
    </w:p>
    <w:p w:rsidR="002C40B2" w:rsidRPr="0084081D" w:rsidRDefault="002C40B2" w:rsidP="0084081D">
      <w:pPr>
        <w:widowControl/>
        <w:kinsoku/>
        <w:overflowPunct/>
        <w:autoSpaceDE w:val="0"/>
        <w:autoSpaceDN w:val="0"/>
        <w:adjustRightInd w:val="0"/>
        <w:jc w:val="both"/>
        <w:textAlignment w:val="auto"/>
        <w:rPr>
          <w:lang w:val="en-US"/>
        </w:rPr>
        <w:sectPr w:rsidR="002C40B2" w:rsidRPr="0084081D">
          <w:pgSz w:w="11909" w:h="16838"/>
          <w:pgMar w:top="1240" w:right="1212" w:bottom="322" w:left="1277" w:header="720" w:footer="720" w:gutter="0"/>
          <w:cols w:space="720"/>
          <w:noEndnote/>
        </w:sectPr>
      </w:pPr>
    </w:p>
    <w:p w:rsidR="002C40B2" w:rsidRPr="00A405D6" w:rsidRDefault="002C40B2" w:rsidP="0084081D">
      <w:pPr>
        <w:spacing w:before="52" w:line="323" w:lineRule="exact"/>
        <w:ind w:left="144"/>
        <w:jc w:val="both"/>
        <w:rPr>
          <w:rFonts w:ascii="Calibri" w:hAnsi="Calibri" w:cs="Calibri"/>
          <w:b/>
          <w:bCs/>
          <w:spacing w:val="-1"/>
          <w:sz w:val="32"/>
          <w:szCs w:val="32"/>
        </w:rPr>
      </w:pPr>
      <w:r>
        <w:rPr>
          <w:rFonts w:ascii="Calibri" w:hAnsi="Calibri"/>
          <w:b/>
          <w:spacing w:val="-1"/>
          <w:sz w:val="32"/>
        </w:rPr>
        <w:lastRenderedPageBreak/>
        <w:t>Estándares mínimos VI</w:t>
      </w:r>
    </w:p>
    <w:p w:rsidR="002C40B2" w:rsidRPr="00A405D6" w:rsidRDefault="002C40B2" w:rsidP="0084081D">
      <w:pPr>
        <w:spacing w:before="360" w:line="400" w:lineRule="exact"/>
        <w:ind w:left="142" w:right="1009"/>
        <w:jc w:val="both"/>
        <w:rPr>
          <w:rFonts w:ascii="Calibri" w:hAnsi="Calibri" w:cs="Calibri"/>
          <w:b/>
          <w:bCs/>
          <w:color w:val="345A89"/>
          <w:sz w:val="32"/>
          <w:szCs w:val="32"/>
        </w:rPr>
      </w:pPr>
      <w:r>
        <w:rPr>
          <w:rFonts w:ascii="Calibri" w:hAnsi="Calibri"/>
          <w:b/>
          <w:color w:val="345A89"/>
          <w:sz w:val="32"/>
        </w:rPr>
        <w:t>Capítulo II Propuesta de estándares mínimos sobre los miembros no judiciales en la gobernanza judicial</w:t>
      </w:r>
    </w:p>
    <w:p w:rsidR="002C40B2" w:rsidRPr="00A405D6" w:rsidRDefault="002C40B2" w:rsidP="0084081D">
      <w:pPr>
        <w:spacing w:before="480" w:line="264" w:lineRule="exact"/>
        <w:ind w:left="142"/>
        <w:jc w:val="both"/>
        <w:rPr>
          <w:rFonts w:ascii="Calibri" w:hAnsi="Calibri" w:cs="Calibri"/>
          <w:b/>
          <w:bCs/>
          <w:color w:val="4F81BC"/>
          <w:spacing w:val="-1"/>
          <w:sz w:val="26"/>
          <w:szCs w:val="26"/>
        </w:rPr>
      </w:pPr>
      <w:r>
        <w:rPr>
          <w:rFonts w:ascii="Calibri" w:hAnsi="Calibri"/>
          <w:b/>
          <w:color w:val="4F81BC"/>
          <w:spacing w:val="-1"/>
          <w:sz w:val="26"/>
        </w:rPr>
        <w:t>Definiciones</w:t>
      </w:r>
    </w:p>
    <w:p w:rsidR="002C40B2" w:rsidRPr="00A405D6" w:rsidRDefault="002C40B2" w:rsidP="0084081D">
      <w:pPr>
        <w:spacing w:before="138" w:line="437" w:lineRule="exact"/>
        <w:ind w:left="144" w:right="144" w:firstLine="864"/>
        <w:jc w:val="both"/>
        <w:rPr>
          <w:rFonts w:ascii="Calibri" w:hAnsi="Calibri" w:cs="Calibri"/>
          <w:sz w:val="25"/>
          <w:szCs w:val="25"/>
        </w:rPr>
      </w:pPr>
      <w:r>
        <w:rPr>
          <w:rFonts w:ascii="Calibri" w:hAnsi="Calibri"/>
          <w:sz w:val="25"/>
        </w:rPr>
        <w:t>“</w:t>
      </w:r>
      <w:r>
        <w:rPr>
          <w:rFonts w:ascii="Calibri" w:hAnsi="Calibri"/>
          <w:b/>
        </w:rPr>
        <w:t>Miembros no judiciales</w:t>
      </w:r>
      <w:r>
        <w:rPr>
          <w:rFonts w:ascii="Calibri" w:hAnsi="Calibri"/>
          <w:sz w:val="25"/>
        </w:rPr>
        <w:t>” se refiere a las personas que no son jueces ni fiscales y participan en los consejos de Justicia y en otros órganos relevantes.</w:t>
      </w:r>
    </w:p>
    <w:p w:rsidR="002C40B2" w:rsidRPr="00A405D6" w:rsidRDefault="002C40B2" w:rsidP="0084081D">
      <w:pPr>
        <w:spacing w:before="123" w:line="439" w:lineRule="exact"/>
        <w:ind w:left="144" w:right="144" w:firstLine="936"/>
        <w:jc w:val="both"/>
        <w:rPr>
          <w:rFonts w:ascii="Calibri" w:hAnsi="Calibri" w:cs="Calibri"/>
          <w:sz w:val="25"/>
          <w:szCs w:val="25"/>
        </w:rPr>
      </w:pPr>
      <w:r>
        <w:rPr>
          <w:rFonts w:ascii="Calibri" w:hAnsi="Calibri"/>
          <w:sz w:val="25"/>
        </w:rPr>
        <w:t>“</w:t>
      </w:r>
      <w:r>
        <w:rPr>
          <w:rFonts w:ascii="Calibri" w:hAnsi="Calibri"/>
          <w:b/>
        </w:rPr>
        <w:t>Gobernanza judicial</w:t>
      </w:r>
      <w:r>
        <w:rPr>
          <w:rFonts w:ascii="Calibri" w:hAnsi="Calibri"/>
          <w:sz w:val="25"/>
        </w:rPr>
        <w:t>” se refiere a la participación de los miembros no judiciales en actividades de los consejos de Justicia y otros órganos relevantes, incluidas las actividades relativas a los nombramientos y la promoción judiciales, así como los procedimientos disciplinarios y de reclamación.</w:t>
      </w:r>
    </w:p>
    <w:p w:rsidR="002C40B2" w:rsidRPr="00A405D6" w:rsidRDefault="002C40B2" w:rsidP="0084081D">
      <w:pPr>
        <w:spacing w:before="360" w:line="476" w:lineRule="exact"/>
        <w:ind w:left="862" w:right="578" w:hanging="431"/>
        <w:jc w:val="both"/>
        <w:rPr>
          <w:rFonts w:ascii="Calibri" w:hAnsi="Calibri" w:cs="Calibri"/>
          <w:b/>
          <w:bCs/>
          <w:color w:val="4F81BC"/>
          <w:sz w:val="26"/>
          <w:szCs w:val="26"/>
        </w:rPr>
      </w:pPr>
      <w:r>
        <w:rPr>
          <w:rFonts w:ascii="Calibri" w:hAnsi="Calibri"/>
          <w:b/>
          <w:color w:val="4F81BC"/>
          <w:sz w:val="26"/>
        </w:rPr>
        <w:t>1. Composición de los consejos de Justicia y otros órganos relevantes en lo relativo a los miembros no judiciales</w:t>
      </w:r>
    </w:p>
    <w:p w:rsidR="002C40B2" w:rsidRPr="00A405D6" w:rsidRDefault="002C40B2" w:rsidP="0084081D">
      <w:pPr>
        <w:tabs>
          <w:tab w:val="decimal" w:pos="648"/>
          <w:tab w:val="right" w:pos="9144"/>
        </w:tabs>
        <w:spacing w:before="328" w:line="439" w:lineRule="exact"/>
        <w:ind w:left="1417" w:hanging="992"/>
        <w:jc w:val="both"/>
        <w:rPr>
          <w:rFonts w:ascii="Calibri" w:hAnsi="Calibri" w:cs="Calibri"/>
          <w:spacing w:val="-4"/>
          <w:sz w:val="25"/>
          <w:szCs w:val="25"/>
        </w:rPr>
      </w:pPr>
      <w:r>
        <w:tab/>
      </w:r>
      <w:r>
        <w:rPr>
          <w:rFonts w:ascii="Calibri" w:hAnsi="Calibri"/>
          <w:sz w:val="25"/>
        </w:rPr>
        <w:t>1.1</w:t>
      </w:r>
      <w:r>
        <w:tab/>
      </w:r>
      <w:r>
        <w:rPr>
          <w:rFonts w:ascii="Calibri" w:hAnsi="Calibri"/>
          <w:sz w:val="25"/>
        </w:rPr>
        <w:t>La composición de los consejos de Justicia y otros órganos relevantes debe incluir a</w:t>
      </w:r>
      <w:r w:rsidR="00CD4CE0">
        <w:rPr>
          <w:rFonts w:ascii="Calibri" w:hAnsi="Calibri"/>
          <w:sz w:val="25"/>
        </w:rPr>
        <w:t xml:space="preserve"> </w:t>
      </w:r>
      <w:r>
        <w:rPr>
          <w:rFonts w:ascii="Calibri" w:hAnsi="Calibri"/>
          <w:spacing w:val="-4"/>
          <w:sz w:val="25"/>
        </w:rPr>
        <w:t>los miembros no judiciales.</w:t>
      </w:r>
    </w:p>
    <w:p w:rsidR="002C40B2" w:rsidRPr="00A405D6" w:rsidRDefault="002C40B2" w:rsidP="0084081D">
      <w:pPr>
        <w:tabs>
          <w:tab w:val="decimal" w:pos="648"/>
          <w:tab w:val="right" w:pos="9144"/>
        </w:tabs>
        <w:spacing w:before="350" w:line="439" w:lineRule="exact"/>
        <w:ind w:left="1417" w:hanging="992"/>
        <w:jc w:val="both"/>
        <w:rPr>
          <w:rFonts w:ascii="Calibri" w:hAnsi="Calibri" w:cs="Calibri"/>
          <w:spacing w:val="-4"/>
          <w:sz w:val="25"/>
          <w:szCs w:val="25"/>
        </w:rPr>
      </w:pPr>
      <w:r>
        <w:tab/>
      </w:r>
      <w:r>
        <w:rPr>
          <w:rFonts w:ascii="Calibri" w:hAnsi="Calibri"/>
          <w:sz w:val="25"/>
        </w:rPr>
        <w:t>1.2</w:t>
      </w:r>
      <w:r>
        <w:tab/>
      </w:r>
      <w:r>
        <w:rPr>
          <w:rFonts w:ascii="Calibri" w:hAnsi="Calibri"/>
          <w:sz w:val="25"/>
        </w:rPr>
        <w:t>La composición de tales órganos debe ser un reflejo de la diversidad de la sociedad,</w:t>
      </w:r>
      <w:r w:rsidR="00CD4CE0">
        <w:rPr>
          <w:rFonts w:ascii="Calibri" w:hAnsi="Calibri"/>
          <w:sz w:val="25"/>
        </w:rPr>
        <w:t xml:space="preserve"> </w:t>
      </w:r>
      <w:r>
        <w:rPr>
          <w:rFonts w:ascii="Calibri" w:hAnsi="Calibri"/>
          <w:spacing w:val="-4"/>
          <w:sz w:val="25"/>
        </w:rPr>
        <w:t>incluida la diversidad de sexos.</w:t>
      </w:r>
    </w:p>
    <w:p w:rsidR="002C40B2" w:rsidRPr="00A405D6" w:rsidRDefault="002C40B2" w:rsidP="0084081D">
      <w:pPr>
        <w:tabs>
          <w:tab w:val="decimal" w:pos="648"/>
          <w:tab w:val="right" w:pos="9144"/>
        </w:tabs>
        <w:spacing w:before="310" w:line="439" w:lineRule="exact"/>
        <w:ind w:left="1417" w:hanging="992"/>
        <w:jc w:val="both"/>
        <w:rPr>
          <w:rFonts w:ascii="Calibri" w:hAnsi="Calibri" w:cs="Calibri"/>
          <w:spacing w:val="-3"/>
          <w:sz w:val="25"/>
          <w:szCs w:val="25"/>
        </w:rPr>
      </w:pPr>
      <w:r>
        <w:tab/>
      </w:r>
      <w:r>
        <w:rPr>
          <w:rFonts w:ascii="Calibri" w:hAnsi="Calibri"/>
          <w:sz w:val="25"/>
        </w:rPr>
        <w:t>1.3</w:t>
      </w:r>
      <w:r>
        <w:tab/>
      </w:r>
      <w:r>
        <w:rPr>
          <w:rFonts w:ascii="Calibri" w:hAnsi="Calibri"/>
          <w:sz w:val="25"/>
        </w:rPr>
        <w:t xml:space="preserve">El número </w:t>
      </w:r>
      <w:r w:rsidR="00CD4CE0">
        <w:rPr>
          <w:rFonts w:ascii="Calibri" w:hAnsi="Calibri"/>
          <w:sz w:val="25"/>
        </w:rPr>
        <w:t xml:space="preserve">exacto </w:t>
      </w:r>
      <w:r>
        <w:rPr>
          <w:rFonts w:ascii="Calibri" w:hAnsi="Calibri"/>
          <w:sz w:val="25"/>
        </w:rPr>
        <w:t>y las proporciones de miembros judiciales y no judiciales dependerá</w:t>
      </w:r>
      <w:r w:rsidR="00CD4CE0">
        <w:rPr>
          <w:rFonts w:ascii="Calibri" w:hAnsi="Calibri"/>
          <w:sz w:val="25"/>
        </w:rPr>
        <w:t xml:space="preserve"> </w:t>
      </w:r>
      <w:r>
        <w:rPr>
          <w:rFonts w:ascii="Calibri" w:hAnsi="Calibri"/>
          <w:spacing w:val="-3"/>
          <w:sz w:val="25"/>
        </w:rPr>
        <w:t>del tipo de órgano de que se trate. Concretamente:</w:t>
      </w:r>
    </w:p>
    <w:p w:rsidR="002C40B2" w:rsidRPr="00A405D6" w:rsidRDefault="002C40B2" w:rsidP="0084081D">
      <w:pPr>
        <w:spacing w:before="117" w:line="439" w:lineRule="exact"/>
        <w:ind w:left="1728" w:right="144" w:hanging="432"/>
        <w:jc w:val="both"/>
        <w:rPr>
          <w:rFonts w:ascii="Calibri" w:hAnsi="Calibri" w:cs="Calibri"/>
          <w:sz w:val="25"/>
          <w:szCs w:val="25"/>
        </w:rPr>
      </w:pPr>
      <w:r>
        <w:rPr>
          <w:rFonts w:ascii="Arial" w:hAnsi="Arial"/>
        </w:rPr>
        <w:t xml:space="preserve">- </w:t>
      </w:r>
      <w:r>
        <w:rPr>
          <w:rFonts w:ascii="Calibri" w:hAnsi="Calibri"/>
          <w:sz w:val="25"/>
        </w:rPr>
        <w:t>En los consejos de Justicia, los jueces deben ser mayoría, pero no representar más de 2/3 de los miembros. Por tanto, los miembros no judiciales deben representar al menos 1/3 de los miembros.</w:t>
      </w:r>
    </w:p>
    <w:p w:rsidR="002C40B2" w:rsidRPr="00A405D6" w:rsidRDefault="002C40B2" w:rsidP="0084081D">
      <w:pPr>
        <w:spacing w:before="125" w:line="439" w:lineRule="exact"/>
        <w:ind w:left="1728" w:right="144" w:hanging="432"/>
        <w:jc w:val="both"/>
        <w:rPr>
          <w:rFonts w:ascii="Calibri" w:hAnsi="Calibri" w:cs="Calibri"/>
          <w:sz w:val="25"/>
          <w:szCs w:val="25"/>
        </w:rPr>
      </w:pPr>
      <w:r>
        <w:rPr>
          <w:rFonts w:ascii="Arial" w:hAnsi="Arial"/>
        </w:rPr>
        <w:t xml:space="preserve">- </w:t>
      </w:r>
      <w:r>
        <w:rPr>
          <w:rFonts w:ascii="Calibri" w:hAnsi="Calibri"/>
          <w:sz w:val="25"/>
        </w:rPr>
        <w:t>En otros órganos relevantes, los miembros no judiciales deben participar en cualquier proceso de selección relativo al nombramiento y promoción de los jueces (y fiscales en su caso) en todos los niveles de antigüedad.</w:t>
      </w:r>
    </w:p>
    <w:p w:rsidR="002C40B2" w:rsidRPr="00A405D6" w:rsidRDefault="002C40B2" w:rsidP="0084081D">
      <w:pPr>
        <w:spacing w:before="546" w:line="225" w:lineRule="exact"/>
        <w:ind w:right="90"/>
        <w:jc w:val="right"/>
        <w:rPr>
          <w:rFonts w:ascii="Calibri" w:hAnsi="Calibri" w:cs="Calibri"/>
          <w:spacing w:val="-6"/>
          <w:sz w:val="22"/>
          <w:szCs w:val="22"/>
        </w:rPr>
      </w:pPr>
      <w:r>
        <w:rPr>
          <w:rFonts w:ascii="Calibri" w:hAnsi="Calibri"/>
          <w:spacing w:val="-6"/>
          <w:sz w:val="22"/>
        </w:rPr>
        <w:t>10</w:t>
      </w:r>
    </w:p>
    <w:p w:rsidR="002C40B2" w:rsidRPr="00A405D6" w:rsidRDefault="002C40B2" w:rsidP="0084081D">
      <w:pPr>
        <w:spacing w:before="44" w:line="226" w:lineRule="exact"/>
        <w:ind w:left="144"/>
        <w:jc w:val="both"/>
        <w:rPr>
          <w:rFonts w:ascii="Calibri" w:hAnsi="Calibri" w:cs="Calibri"/>
          <w:sz w:val="22"/>
          <w:szCs w:val="22"/>
        </w:rPr>
      </w:pPr>
      <w:r>
        <w:rPr>
          <w:rFonts w:ascii="Calibri" w:hAnsi="Calibri"/>
          <w:sz w:val="22"/>
        </w:rPr>
        <w:t>Proyecto de la RECJ sobre los miembros no judiciales en la gobernanza judicial 2015-2016 - aprobado por la</w:t>
      </w:r>
      <w:r w:rsidR="00CD4CE0">
        <w:rPr>
          <w:rFonts w:ascii="Calibri" w:hAnsi="Calibri"/>
          <w:sz w:val="22"/>
        </w:rPr>
        <w:t xml:space="preserve"> </w:t>
      </w:r>
      <w:r>
        <w:rPr>
          <w:rFonts w:ascii="Calibri" w:hAnsi="Calibri"/>
          <w:sz w:val="22"/>
        </w:rPr>
        <w:t>Asamblea General el 3 de junio de 2016</w:t>
      </w:r>
    </w:p>
    <w:p w:rsidR="002C40B2" w:rsidRPr="0084081D" w:rsidRDefault="003D3904" w:rsidP="0084081D">
      <w:pPr>
        <w:spacing w:before="43" w:line="226" w:lineRule="exact"/>
        <w:ind w:left="144"/>
        <w:jc w:val="both"/>
        <w:rPr>
          <w:rFonts w:ascii="Calibri" w:hAnsi="Calibri" w:cs="Calibri"/>
          <w:sz w:val="22"/>
          <w:szCs w:val="22"/>
          <w:lang w:val="en-US"/>
        </w:rPr>
      </w:pPr>
      <w:hyperlink r:id="rId15">
        <w:r w:rsidR="002C40B2" w:rsidRPr="0084081D">
          <w:rPr>
            <w:rFonts w:ascii="Calibri" w:hAnsi="Calibri"/>
            <w:color w:val="0000FF"/>
            <w:sz w:val="22"/>
            <w:u w:val="single"/>
            <w:lang w:val="en-US"/>
          </w:rPr>
          <w:t>www.encj.eu</w:t>
        </w:r>
      </w:hyperlink>
    </w:p>
    <w:p w:rsidR="002C40B2" w:rsidRPr="0084081D" w:rsidRDefault="002C40B2" w:rsidP="0084081D">
      <w:pPr>
        <w:spacing w:before="42" w:line="226" w:lineRule="exact"/>
        <w:ind w:left="144"/>
        <w:jc w:val="both"/>
        <w:rPr>
          <w:rFonts w:ascii="Calibri" w:hAnsi="Calibri" w:cs="Calibri"/>
          <w:sz w:val="22"/>
          <w:szCs w:val="22"/>
          <w:lang w:val="en-US"/>
        </w:rPr>
      </w:pPr>
      <w:proofErr w:type="spellStart"/>
      <w:r w:rsidRPr="0084081D">
        <w:rPr>
          <w:rFonts w:ascii="Calibri" w:hAnsi="Calibri"/>
          <w:sz w:val="22"/>
          <w:lang w:val="en-US"/>
        </w:rPr>
        <w:t>office@encj.euENCJ</w:t>
      </w:r>
      <w:proofErr w:type="spellEnd"/>
      <w:r w:rsidRPr="0084081D">
        <w:rPr>
          <w:rFonts w:ascii="Calibri" w:hAnsi="Calibri"/>
          <w:sz w:val="22"/>
          <w:lang w:val="en-US"/>
        </w:rPr>
        <w:t xml:space="preserve"> report</w:t>
      </w:r>
    </w:p>
    <w:p w:rsidR="002C40B2" w:rsidRPr="0084081D" w:rsidRDefault="002C40B2" w:rsidP="0084081D">
      <w:pPr>
        <w:widowControl/>
        <w:kinsoku/>
        <w:overflowPunct/>
        <w:autoSpaceDE w:val="0"/>
        <w:autoSpaceDN w:val="0"/>
        <w:adjustRightInd w:val="0"/>
        <w:jc w:val="both"/>
        <w:textAlignment w:val="auto"/>
        <w:rPr>
          <w:lang w:val="en-US"/>
        </w:rPr>
        <w:sectPr w:rsidR="002C40B2" w:rsidRPr="0084081D">
          <w:pgSz w:w="11909" w:h="16838"/>
          <w:pgMar w:top="1400" w:right="1219" w:bottom="322" w:left="1270" w:header="720" w:footer="720" w:gutter="0"/>
          <w:cols w:space="720"/>
          <w:noEndnote/>
        </w:sectPr>
      </w:pPr>
    </w:p>
    <w:p w:rsidR="002C40B2" w:rsidRPr="00A405D6" w:rsidRDefault="002C40B2" w:rsidP="0084081D">
      <w:pPr>
        <w:numPr>
          <w:ilvl w:val="0"/>
          <w:numId w:val="7"/>
        </w:numPr>
        <w:spacing w:before="51" w:line="264" w:lineRule="exact"/>
        <w:jc w:val="both"/>
        <w:rPr>
          <w:rFonts w:ascii="Calibri" w:hAnsi="Calibri" w:cs="Calibri"/>
          <w:b/>
          <w:bCs/>
          <w:color w:val="4F81BC"/>
          <w:sz w:val="26"/>
          <w:szCs w:val="26"/>
        </w:rPr>
      </w:pPr>
      <w:r>
        <w:rPr>
          <w:rFonts w:ascii="Calibri" w:hAnsi="Calibri"/>
          <w:b/>
          <w:color w:val="4F81BC"/>
          <w:sz w:val="26"/>
        </w:rPr>
        <w:lastRenderedPageBreak/>
        <w:t>Proceso de selección y nombramiento de los miembros no judiciales</w:t>
      </w:r>
    </w:p>
    <w:p w:rsidR="002C40B2" w:rsidRPr="00A405D6" w:rsidRDefault="002C40B2" w:rsidP="0084081D">
      <w:pPr>
        <w:tabs>
          <w:tab w:val="decimal" w:pos="576"/>
          <w:tab w:val="right" w:pos="9144"/>
        </w:tabs>
        <w:spacing w:before="324" w:line="439" w:lineRule="exact"/>
        <w:ind w:left="1417" w:hanging="992"/>
        <w:jc w:val="both"/>
        <w:rPr>
          <w:rFonts w:ascii="Calibri" w:hAnsi="Calibri" w:cs="Calibri"/>
          <w:spacing w:val="-4"/>
          <w:sz w:val="25"/>
          <w:szCs w:val="25"/>
        </w:rPr>
      </w:pPr>
      <w:r>
        <w:tab/>
      </w:r>
      <w:r>
        <w:rPr>
          <w:rFonts w:ascii="Calibri" w:hAnsi="Calibri"/>
          <w:sz w:val="25"/>
        </w:rPr>
        <w:t>2.1</w:t>
      </w:r>
      <w:r w:rsidR="000D7DD2">
        <w:rPr>
          <w:rFonts w:ascii="Calibri" w:hAnsi="Calibri"/>
          <w:sz w:val="25"/>
        </w:rPr>
        <w:tab/>
      </w:r>
      <w:r>
        <w:rPr>
          <w:rFonts w:ascii="Calibri" w:hAnsi="Calibri"/>
          <w:sz w:val="25"/>
        </w:rPr>
        <w:t>El proceso de selección, designación o nombramiento de los miembros no judiciales debe</w:t>
      </w:r>
      <w:r w:rsidR="000D7DD2">
        <w:rPr>
          <w:rFonts w:ascii="Calibri" w:hAnsi="Calibri"/>
          <w:sz w:val="25"/>
        </w:rPr>
        <w:t xml:space="preserve"> </w:t>
      </w:r>
      <w:r>
        <w:rPr>
          <w:rFonts w:ascii="Calibri" w:hAnsi="Calibri"/>
          <w:spacing w:val="-4"/>
          <w:sz w:val="25"/>
        </w:rPr>
        <w:t>basarse en el mérito y ser transparente.</w:t>
      </w:r>
    </w:p>
    <w:p w:rsidR="002C40B2" w:rsidRPr="00A405D6" w:rsidRDefault="002C40B2" w:rsidP="0084081D">
      <w:pPr>
        <w:tabs>
          <w:tab w:val="decimal" w:pos="576"/>
          <w:tab w:val="right" w:pos="9144"/>
        </w:tabs>
        <w:spacing w:before="315" w:line="439" w:lineRule="exact"/>
        <w:ind w:left="1417" w:hanging="992"/>
        <w:jc w:val="both"/>
        <w:rPr>
          <w:rFonts w:ascii="Calibri" w:hAnsi="Calibri" w:cs="Calibri"/>
          <w:sz w:val="25"/>
          <w:szCs w:val="25"/>
        </w:rPr>
      </w:pPr>
      <w:r>
        <w:tab/>
      </w:r>
      <w:r>
        <w:rPr>
          <w:rFonts w:ascii="Calibri" w:hAnsi="Calibri"/>
          <w:sz w:val="25"/>
        </w:rPr>
        <w:t>2.2</w:t>
      </w:r>
      <w:r>
        <w:tab/>
      </w:r>
      <w:r>
        <w:rPr>
          <w:rFonts w:ascii="Calibri" w:hAnsi="Calibri"/>
          <w:sz w:val="25"/>
        </w:rPr>
        <w:t>La sociedad civil debe participar en una o más de las fases</w:t>
      </w:r>
      <w:r w:rsidR="000D7DD2">
        <w:rPr>
          <w:rFonts w:ascii="Calibri" w:hAnsi="Calibri"/>
          <w:sz w:val="25"/>
        </w:rPr>
        <w:t xml:space="preserve"> citadas </w:t>
      </w:r>
      <w:r>
        <w:rPr>
          <w:rFonts w:ascii="Calibri" w:hAnsi="Calibri"/>
          <w:sz w:val="25"/>
        </w:rPr>
        <w:t>(selección, designación o nombramiento), incluyendo la posibilidad de que proponga candidatos apropiados a tener en cuenta.</w:t>
      </w:r>
    </w:p>
    <w:p w:rsidR="002C40B2" w:rsidRPr="00A405D6" w:rsidRDefault="002C40B2" w:rsidP="0084081D">
      <w:pPr>
        <w:tabs>
          <w:tab w:val="decimal" w:pos="576"/>
          <w:tab w:val="right" w:pos="9144"/>
        </w:tabs>
        <w:spacing w:before="310" w:line="439" w:lineRule="exact"/>
        <w:ind w:left="1417" w:hanging="992"/>
        <w:jc w:val="both"/>
        <w:rPr>
          <w:rFonts w:ascii="Calibri" w:hAnsi="Calibri" w:cs="Calibri"/>
          <w:sz w:val="25"/>
          <w:szCs w:val="25"/>
        </w:rPr>
      </w:pPr>
      <w:r>
        <w:tab/>
      </w:r>
      <w:r>
        <w:rPr>
          <w:rFonts w:ascii="Calibri" w:hAnsi="Calibri"/>
          <w:sz w:val="25"/>
        </w:rPr>
        <w:t>2.3</w:t>
      </w:r>
      <w:r>
        <w:tab/>
      </w:r>
      <w:r>
        <w:rPr>
          <w:rFonts w:ascii="Calibri" w:hAnsi="Calibri"/>
          <w:sz w:val="25"/>
        </w:rPr>
        <w:t>En los casos en que los miembros no judiciales sean nombrados por órganos parlamentarios, es</w:t>
      </w:r>
      <w:r w:rsidR="000D7DD2">
        <w:rPr>
          <w:rFonts w:ascii="Calibri" w:hAnsi="Calibri"/>
          <w:sz w:val="25"/>
        </w:rPr>
        <w:t xml:space="preserve"> </w:t>
      </w:r>
      <w:r>
        <w:rPr>
          <w:rFonts w:ascii="Calibri" w:hAnsi="Calibri"/>
          <w:sz w:val="25"/>
        </w:rPr>
        <w:t>conveniente que para su selección se</w:t>
      </w:r>
      <w:r w:rsidR="000D7DD2">
        <w:rPr>
          <w:rFonts w:ascii="Calibri" w:hAnsi="Calibri"/>
          <w:sz w:val="25"/>
        </w:rPr>
        <w:t xml:space="preserve"> requier</w:t>
      </w:r>
      <w:r>
        <w:rPr>
          <w:rFonts w:ascii="Calibri" w:hAnsi="Calibri"/>
          <w:sz w:val="25"/>
        </w:rPr>
        <w:t>an mayorías especialmente cualificadas para evitar influencias políticas.</w:t>
      </w:r>
    </w:p>
    <w:p w:rsidR="002C40B2" w:rsidRPr="00A405D6" w:rsidRDefault="002C40B2" w:rsidP="0084081D">
      <w:pPr>
        <w:numPr>
          <w:ilvl w:val="0"/>
          <w:numId w:val="7"/>
        </w:numPr>
        <w:spacing w:before="667" w:line="475" w:lineRule="exact"/>
        <w:ind w:right="576"/>
        <w:jc w:val="both"/>
        <w:rPr>
          <w:rFonts w:ascii="Calibri" w:hAnsi="Calibri" w:cs="Calibri"/>
          <w:b/>
          <w:bCs/>
          <w:color w:val="4F81BC"/>
          <w:sz w:val="26"/>
          <w:szCs w:val="26"/>
        </w:rPr>
      </w:pPr>
      <w:r>
        <w:rPr>
          <w:rFonts w:ascii="Calibri" w:hAnsi="Calibri"/>
          <w:b/>
          <w:color w:val="4F81BC"/>
          <w:sz w:val="26"/>
        </w:rPr>
        <w:t>Las cualidades personales, competencias y relaciones políticas de los miembros no judiciales</w:t>
      </w:r>
    </w:p>
    <w:p w:rsidR="002C40B2" w:rsidRDefault="002C40B2" w:rsidP="0084081D">
      <w:pPr>
        <w:tabs>
          <w:tab w:val="decimal" w:pos="576"/>
          <w:tab w:val="right" w:pos="9144"/>
        </w:tabs>
        <w:spacing w:before="325" w:line="439" w:lineRule="exact"/>
        <w:ind w:left="1417" w:hanging="992"/>
        <w:jc w:val="both"/>
        <w:rPr>
          <w:rFonts w:ascii="Calibri" w:hAnsi="Calibri"/>
          <w:i/>
          <w:spacing w:val="-3"/>
        </w:rPr>
      </w:pPr>
      <w:r>
        <w:tab/>
      </w:r>
      <w:r>
        <w:rPr>
          <w:rFonts w:ascii="Calibri" w:hAnsi="Calibri"/>
          <w:sz w:val="25"/>
        </w:rPr>
        <w:t>3.1</w:t>
      </w:r>
      <w:r>
        <w:tab/>
      </w:r>
      <w:r>
        <w:rPr>
          <w:rFonts w:ascii="Calibri" w:hAnsi="Calibri"/>
          <w:sz w:val="25"/>
        </w:rPr>
        <w:t>Los miembros no judiciales deben ser personas de reconocido prestigio que aporten a</w:t>
      </w:r>
      <w:r w:rsidR="000D7DD2">
        <w:rPr>
          <w:rFonts w:ascii="Calibri" w:hAnsi="Calibri"/>
          <w:sz w:val="25"/>
        </w:rPr>
        <w:t xml:space="preserve"> </w:t>
      </w:r>
      <w:r>
        <w:rPr>
          <w:rFonts w:ascii="Calibri" w:hAnsi="Calibri"/>
          <w:spacing w:val="-3"/>
          <w:sz w:val="25"/>
        </w:rPr>
        <w:t xml:space="preserve">la gobernanza judicial capacidades y experiencia reconocidas fuera de la judicatura. Se espera que su conducta cumpla los más altos estándares, como por ejemplo los previstos en los Siete Principios de la Vida Pública [1995], unas orientaciones establecidas por el Comité de Estándares en la Vida Pública británico («los Principios de </w:t>
      </w:r>
      <w:proofErr w:type="spellStart"/>
      <w:r>
        <w:rPr>
          <w:rFonts w:ascii="Calibri" w:hAnsi="Calibri"/>
          <w:spacing w:val="-3"/>
          <w:sz w:val="25"/>
        </w:rPr>
        <w:t>Nolan</w:t>
      </w:r>
      <w:proofErr w:type="spellEnd"/>
      <w:r>
        <w:rPr>
          <w:rFonts w:ascii="Calibri" w:hAnsi="Calibri"/>
          <w:spacing w:val="-3"/>
          <w:sz w:val="25"/>
        </w:rPr>
        <w:t>»).</w:t>
      </w:r>
      <w:r>
        <w:rPr>
          <w:rFonts w:ascii="Calibri" w:hAnsi="Calibri"/>
          <w:spacing w:val="-3"/>
          <w:sz w:val="25"/>
          <w:vertAlign w:val="superscript"/>
        </w:rPr>
        <w:t>2</w:t>
      </w:r>
      <w:r>
        <w:rPr>
          <w:rFonts w:ascii="Calibri" w:hAnsi="Calibri"/>
          <w:spacing w:val="-3"/>
          <w:sz w:val="25"/>
        </w:rPr>
        <w:t xml:space="preserve"> Los siete principios son: altruismo, integridad, objetividad, responsabilidad, transparencia, honestidad y capacidad de decisión. Los miembros no judiciales deben nombra</w:t>
      </w:r>
      <w:r w:rsidR="0028231E">
        <w:rPr>
          <w:rFonts w:ascii="Calibri" w:hAnsi="Calibri"/>
          <w:spacing w:val="-3"/>
          <w:sz w:val="25"/>
        </w:rPr>
        <w:t>r</w:t>
      </w:r>
      <w:r>
        <w:rPr>
          <w:rFonts w:ascii="Calibri" w:hAnsi="Calibri"/>
          <w:spacing w:val="-3"/>
          <w:sz w:val="25"/>
        </w:rPr>
        <w:t xml:space="preserve">se de conformidad con las normas fijadas en la Declaración de Dublín sobre estándares para la selección y el nombramiento de miembros del poder judicial (2012). </w:t>
      </w:r>
      <w:r w:rsidR="0028231E">
        <w:rPr>
          <w:rFonts w:ascii="Calibri" w:hAnsi="Calibri"/>
          <w:spacing w:val="-3"/>
          <w:sz w:val="25"/>
        </w:rPr>
        <w:t xml:space="preserve">Su </w:t>
      </w:r>
      <w:r>
        <w:rPr>
          <w:rFonts w:ascii="Calibri" w:hAnsi="Calibri"/>
          <w:spacing w:val="-3"/>
          <w:sz w:val="25"/>
        </w:rPr>
        <w:t xml:space="preserve">apartado II.5 reza: </w:t>
      </w:r>
      <w:r>
        <w:rPr>
          <w:rFonts w:ascii="Calibri" w:hAnsi="Calibri"/>
          <w:i/>
          <w:spacing w:val="-3"/>
        </w:rPr>
        <w:t>El organismo responsable de los nombramientos judiciales debería incluir una participación significativa de profesionales o expertos jurídicos (incluyendo jueces, profesores universitarios, abogados, fiscales y otros profesionales con experiencia) y podría contar también con miembros legos independientes que representen</w:t>
      </w:r>
    </w:p>
    <w:p w:rsidR="00C12891" w:rsidRPr="00C12891" w:rsidRDefault="00C12891" w:rsidP="0084081D">
      <w:pPr>
        <w:tabs>
          <w:tab w:val="decimal" w:pos="576"/>
          <w:tab w:val="right" w:pos="9144"/>
        </w:tabs>
        <w:spacing w:before="325" w:line="439" w:lineRule="exact"/>
        <w:ind w:left="1417" w:hanging="992"/>
        <w:jc w:val="both"/>
        <w:rPr>
          <w:rFonts w:ascii="Calibri" w:hAnsi="Calibri" w:cs="Calibri"/>
          <w:iCs/>
          <w:spacing w:val="-3"/>
        </w:rPr>
      </w:pPr>
      <w:r>
        <w:rPr>
          <w:rFonts w:ascii="Calibri" w:hAnsi="Calibri"/>
          <w:i/>
          <w:spacing w:val="-3"/>
        </w:rPr>
        <w:tab/>
      </w:r>
      <w:r>
        <w:rPr>
          <w:rFonts w:ascii="Calibri" w:hAnsi="Calibri"/>
          <w:i/>
          <w:spacing w:val="-3"/>
        </w:rPr>
        <w:tab/>
      </w:r>
      <w:r>
        <w:rPr>
          <w:rFonts w:ascii="Calibri" w:hAnsi="Calibri"/>
          <w:i/>
          <w:spacing w:val="-3"/>
        </w:rPr>
        <w:tab/>
      </w:r>
      <w:bookmarkStart w:id="0" w:name="_GoBack"/>
      <w:r w:rsidRPr="00C12891">
        <w:rPr>
          <w:rFonts w:ascii="Calibri" w:hAnsi="Calibri"/>
          <w:spacing w:val="-3"/>
        </w:rPr>
        <w:t>11</w:t>
      </w:r>
      <w:bookmarkEnd w:id="0"/>
    </w:p>
    <w:p w:rsidR="002C40B2" w:rsidRPr="00C12891" w:rsidRDefault="00B8489C" w:rsidP="00C12891">
      <w:pPr>
        <w:spacing w:before="141" w:after="151" w:line="223" w:lineRule="exact"/>
        <w:ind w:left="144"/>
        <w:jc w:val="both"/>
        <w:rPr>
          <w:rFonts w:ascii="Calibri" w:hAnsi="Calibri" w:cs="Calibri"/>
          <w:color w:val="1154CC"/>
          <w:spacing w:val="-3"/>
          <w:sz w:val="21"/>
          <w:szCs w:val="21"/>
        </w:rPr>
      </w:pPr>
      <w:r>
        <w:rPr>
          <w:noProof/>
          <w:lang w:bidi="ar-SA"/>
        </w:rPr>
        <mc:AlternateContent>
          <mc:Choice Requires="wps">
            <w:drawing>
              <wp:anchor distT="0" distB="0" distL="0" distR="0" simplePos="0" relativeHeight="251660288" behindDoc="0" locked="0" layoutInCell="0" allowOverlap="1" wp14:anchorId="352DD396" wp14:editId="3A1AE0E2">
                <wp:simplePos x="0" y="0"/>
                <wp:positionH relativeFrom="column">
                  <wp:posOffset>88265</wp:posOffset>
                </wp:positionH>
                <wp:positionV relativeFrom="paragraph">
                  <wp:posOffset>6985</wp:posOffset>
                </wp:positionV>
                <wp:extent cx="1832610" cy="0"/>
                <wp:effectExtent l="0" t="0" r="0" b="0"/>
                <wp:wrapSquare wrapText="bothSides"/>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4E21DC84" id="Line 4"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95pt,.55pt" to="151.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YBYEgIAACk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" o:allowincell="f" strokeweight=".95pt">
                <w10:wrap type="square"/>
              </v:line>
            </w:pict>
          </mc:Fallback>
        </mc:AlternateContent>
      </w:r>
      <w:r>
        <w:rPr>
          <w:rFonts w:ascii="Calibri" w:hAnsi="Calibri"/>
          <w:spacing w:val="-3"/>
          <w:sz w:val="13"/>
          <w:vertAlign w:val="superscript"/>
        </w:rPr>
        <w:t>2</w:t>
      </w:r>
      <w:r>
        <w:rPr>
          <w:rFonts w:ascii="Calibri" w:hAnsi="Calibri"/>
          <w:color w:val="1154CC"/>
          <w:spacing w:val="-3"/>
          <w:sz w:val="21"/>
          <w:u w:val="single"/>
        </w:rPr>
        <w:t xml:space="preserve"> </w:t>
      </w:r>
      <w:hyperlink r:id="rId16">
        <w:r>
          <w:rPr>
            <w:rFonts w:ascii="Calibri" w:hAnsi="Calibri"/>
            <w:color w:val="0000FF"/>
            <w:spacing w:val="-3"/>
            <w:sz w:val="21"/>
            <w:u w:val="single"/>
          </w:rPr>
          <w:t>https://www.gov.uk/government/publications/the-7-principles-of-public-life</w:t>
        </w:r>
      </w:hyperlink>
    </w:p>
    <w:p w:rsidR="002C40B2" w:rsidRPr="00A405D6" w:rsidRDefault="002C40B2" w:rsidP="0084081D">
      <w:pPr>
        <w:spacing w:before="1" w:line="268" w:lineRule="exact"/>
        <w:ind w:left="72" w:right="1224"/>
        <w:jc w:val="both"/>
        <w:rPr>
          <w:rFonts w:ascii="Calibri" w:hAnsi="Calibri" w:cs="Calibri"/>
          <w:sz w:val="22"/>
          <w:szCs w:val="22"/>
        </w:rPr>
      </w:pPr>
      <w:r>
        <w:rPr>
          <w:rFonts w:ascii="Calibri" w:hAnsi="Calibri"/>
          <w:sz w:val="22"/>
        </w:rPr>
        <w:t>Proyecto de la RECJ sobre los miembros no judiciales en la gobernanza judicial 2015-2016 - aprobado por la Asamblea General el 3 de junio de 2016</w:t>
      </w:r>
    </w:p>
    <w:p w:rsidR="002C40B2" w:rsidRPr="0084081D" w:rsidRDefault="003D3904" w:rsidP="0084081D">
      <w:pPr>
        <w:spacing w:before="43" w:line="226" w:lineRule="exact"/>
        <w:ind w:left="72"/>
        <w:jc w:val="both"/>
        <w:rPr>
          <w:rFonts w:ascii="Calibri" w:hAnsi="Calibri" w:cs="Calibri"/>
          <w:sz w:val="22"/>
          <w:szCs w:val="22"/>
          <w:lang w:val="en-US"/>
        </w:rPr>
      </w:pPr>
      <w:hyperlink r:id="rId17">
        <w:r w:rsidR="002C40B2" w:rsidRPr="0084081D">
          <w:rPr>
            <w:rFonts w:ascii="Calibri" w:hAnsi="Calibri"/>
            <w:color w:val="0000FF"/>
            <w:sz w:val="22"/>
            <w:u w:val="single"/>
            <w:lang w:val="en-US"/>
          </w:rPr>
          <w:t>www.encj.eu</w:t>
        </w:r>
      </w:hyperlink>
    </w:p>
    <w:p w:rsidR="002C40B2" w:rsidRPr="0084081D" w:rsidRDefault="002C40B2" w:rsidP="0084081D">
      <w:pPr>
        <w:spacing w:before="42" w:line="226" w:lineRule="exact"/>
        <w:ind w:left="72"/>
        <w:jc w:val="both"/>
        <w:rPr>
          <w:rFonts w:ascii="Calibri" w:hAnsi="Calibri" w:cs="Calibri"/>
          <w:sz w:val="22"/>
          <w:szCs w:val="22"/>
          <w:lang w:val="en-US"/>
        </w:rPr>
      </w:pPr>
      <w:proofErr w:type="spellStart"/>
      <w:r w:rsidRPr="0084081D">
        <w:rPr>
          <w:rFonts w:ascii="Calibri" w:hAnsi="Calibri"/>
          <w:sz w:val="22"/>
          <w:lang w:val="en-US"/>
        </w:rPr>
        <w:t>office@encj.euENCJ</w:t>
      </w:r>
      <w:proofErr w:type="spellEnd"/>
      <w:r w:rsidRPr="0084081D">
        <w:rPr>
          <w:rFonts w:ascii="Calibri" w:hAnsi="Calibri"/>
          <w:sz w:val="22"/>
          <w:lang w:val="en-US"/>
        </w:rPr>
        <w:t xml:space="preserve"> report</w:t>
      </w:r>
    </w:p>
    <w:p w:rsidR="002C40B2" w:rsidRPr="0084081D" w:rsidRDefault="002C40B2" w:rsidP="0084081D">
      <w:pPr>
        <w:widowControl/>
        <w:kinsoku/>
        <w:overflowPunct/>
        <w:autoSpaceDE w:val="0"/>
        <w:autoSpaceDN w:val="0"/>
        <w:adjustRightInd w:val="0"/>
        <w:jc w:val="both"/>
        <w:textAlignment w:val="auto"/>
        <w:rPr>
          <w:lang w:val="en-US"/>
        </w:rPr>
        <w:sectPr w:rsidR="002C40B2" w:rsidRPr="0084081D" w:rsidSect="000D7DD2">
          <w:pgSz w:w="11909" w:h="16838"/>
          <w:pgMar w:top="1276" w:right="1212" w:bottom="322" w:left="1277" w:header="720" w:footer="720" w:gutter="0"/>
          <w:cols w:space="720"/>
          <w:noEndnote/>
        </w:sectPr>
      </w:pPr>
    </w:p>
    <w:p w:rsidR="002C40B2" w:rsidRPr="00A405D6" w:rsidRDefault="002C40B2" w:rsidP="0084081D">
      <w:pPr>
        <w:spacing w:line="360" w:lineRule="exact"/>
        <w:ind w:left="1296" w:right="144"/>
        <w:jc w:val="both"/>
        <w:rPr>
          <w:rFonts w:ascii="Calibri" w:hAnsi="Calibri" w:cs="Calibri"/>
          <w:sz w:val="25"/>
          <w:szCs w:val="25"/>
        </w:rPr>
      </w:pPr>
      <w:proofErr w:type="gramStart"/>
      <w:r>
        <w:rPr>
          <w:rFonts w:ascii="Calibri" w:hAnsi="Calibri"/>
          <w:i/>
          <w:sz w:val="25"/>
        </w:rPr>
        <w:lastRenderedPageBreak/>
        <w:t>a</w:t>
      </w:r>
      <w:proofErr w:type="gramEnd"/>
      <w:r>
        <w:rPr>
          <w:rFonts w:ascii="Calibri" w:hAnsi="Calibri"/>
          <w:i/>
          <w:sz w:val="25"/>
        </w:rPr>
        <w:t xml:space="preserve"> la sociedad civil y que hayan sido designados entre personas de reconocido prestigio en lo que respecta a sus capacidades y con experiencia en asuntos como los recursos humanos.</w:t>
      </w:r>
    </w:p>
    <w:p w:rsidR="002C40B2" w:rsidRPr="00A405D6" w:rsidRDefault="002C40B2" w:rsidP="0084081D">
      <w:pPr>
        <w:tabs>
          <w:tab w:val="decimal" w:pos="576"/>
          <w:tab w:val="right" w:pos="9144"/>
        </w:tabs>
        <w:spacing w:before="120" w:line="360" w:lineRule="exact"/>
        <w:ind w:left="1276" w:hanging="851"/>
        <w:jc w:val="both"/>
        <w:rPr>
          <w:rFonts w:ascii="Calibri" w:hAnsi="Calibri" w:cs="Calibri"/>
          <w:sz w:val="25"/>
          <w:szCs w:val="25"/>
        </w:rPr>
      </w:pPr>
      <w:r>
        <w:tab/>
      </w:r>
      <w:r>
        <w:rPr>
          <w:rFonts w:ascii="Calibri" w:hAnsi="Calibri"/>
          <w:sz w:val="25"/>
        </w:rPr>
        <w:t>3.2</w:t>
      </w:r>
      <w:r>
        <w:tab/>
      </w:r>
      <w:r w:rsidR="005302C4">
        <w:rPr>
          <w:rFonts w:ascii="Calibri" w:hAnsi="Calibri"/>
          <w:sz w:val="25"/>
        </w:rPr>
        <w:t>Ello implica</w:t>
      </w:r>
      <w:r>
        <w:rPr>
          <w:rFonts w:ascii="Calibri" w:hAnsi="Calibri"/>
          <w:sz w:val="25"/>
        </w:rPr>
        <w:t xml:space="preserve"> que las personas con cierto nivel de formación y experiencia deben</w:t>
      </w:r>
      <w:r w:rsidR="007C4DFE">
        <w:rPr>
          <w:rFonts w:ascii="Calibri" w:hAnsi="Calibri"/>
          <w:sz w:val="25"/>
        </w:rPr>
        <w:t xml:space="preserve"> </w:t>
      </w:r>
      <w:r>
        <w:rPr>
          <w:rFonts w:ascii="Calibri" w:hAnsi="Calibri"/>
          <w:sz w:val="25"/>
        </w:rPr>
        <w:t>ser tenidas en cuenta para su nombramiento como miembros no judiciales. Las posibles categorías de miembros no judiciales incluyen: abogados, profesores universitarios y otros profesionales como sociólogos, psicólogos, economistas, especialistas en recursos humanos y representantes de organizaciones de la sociedad civil.</w:t>
      </w:r>
    </w:p>
    <w:p w:rsidR="002C40B2" w:rsidRPr="00A405D6" w:rsidRDefault="002C40B2" w:rsidP="0084081D">
      <w:pPr>
        <w:tabs>
          <w:tab w:val="decimal" w:pos="576"/>
          <w:tab w:val="right" w:pos="9144"/>
        </w:tabs>
        <w:spacing w:before="120" w:line="360" w:lineRule="exact"/>
        <w:ind w:left="1276" w:hanging="851"/>
        <w:jc w:val="both"/>
        <w:rPr>
          <w:rFonts w:ascii="Calibri" w:hAnsi="Calibri" w:cs="Calibri"/>
          <w:spacing w:val="-3"/>
          <w:sz w:val="25"/>
          <w:szCs w:val="25"/>
        </w:rPr>
      </w:pPr>
      <w:r>
        <w:tab/>
      </w:r>
      <w:r>
        <w:rPr>
          <w:rFonts w:ascii="Calibri" w:hAnsi="Calibri"/>
          <w:sz w:val="25"/>
        </w:rPr>
        <w:t>3.3</w:t>
      </w:r>
      <w:r>
        <w:tab/>
      </w:r>
      <w:r>
        <w:rPr>
          <w:rFonts w:ascii="Calibri" w:hAnsi="Calibri"/>
          <w:sz w:val="25"/>
        </w:rPr>
        <w:t>Para garantizar que la sociedad civil esté representada, los miembros no judiciales no deben ser</w:t>
      </w:r>
      <w:r w:rsidR="007C4DFE">
        <w:rPr>
          <w:rFonts w:ascii="Calibri" w:hAnsi="Calibri"/>
          <w:sz w:val="25"/>
        </w:rPr>
        <w:t xml:space="preserve"> </w:t>
      </w:r>
      <w:r>
        <w:rPr>
          <w:rFonts w:ascii="Calibri" w:hAnsi="Calibri"/>
          <w:spacing w:val="-3"/>
          <w:sz w:val="25"/>
        </w:rPr>
        <w:t>políticos ni personas con afiliación política.</w:t>
      </w:r>
    </w:p>
    <w:p w:rsidR="002C40B2" w:rsidRPr="00A405D6" w:rsidRDefault="002C40B2" w:rsidP="0084081D">
      <w:pPr>
        <w:tabs>
          <w:tab w:val="decimal" w:pos="576"/>
          <w:tab w:val="right" w:pos="9144"/>
        </w:tabs>
        <w:spacing w:before="120" w:line="360" w:lineRule="exact"/>
        <w:ind w:left="1276" w:hanging="851"/>
        <w:jc w:val="both"/>
        <w:rPr>
          <w:rFonts w:ascii="Calibri" w:hAnsi="Calibri" w:cs="Calibri"/>
          <w:spacing w:val="-3"/>
          <w:sz w:val="25"/>
          <w:szCs w:val="25"/>
        </w:rPr>
      </w:pPr>
      <w:r>
        <w:tab/>
      </w:r>
      <w:r>
        <w:rPr>
          <w:rFonts w:ascii="Calibri" w:hAnsi="Calibri"/>
          <w:sz w:val="25"/>
        </w:rPr>
        <w:t>3.4</w:t>
      </w:r>
      <w:r>
        <w:tab/>
      </w:r>
      <w:r>
        <w:rPr>
          <w:rFonts w:ascii="Calibri" w:hAnsi="Calibri"/>
          <w:sz w:val="25"/>
        </w:rPr>
        <w:t>Para respetar la separación de poderes, el Ministro de Justicia no debe</w:t>
      </w:r>
      <w:r w:rsidR="007C4DFE">
        <w:rPr>
          <w:rFonts w:ascii="Calibri" w:hAnsi="Calibri"/>
          <w:sz w:val="25"/>
        </w:rPr>
        <w:t xml:space="preserve"> </w:t>
      </w:r>
      <w:r>
        <w:rPr>
          <w:rFonts w:ascii="Calibri" w:hAnsi="Calibri"/>
          <w:spacing w:val="-3"/>
          <w:sz w:val="25"/>
        </w:rPr>
        <w:t>ser miembro del consejo de Justicia ni de otro órgano relevante.</w:t>
      </w:r>
    </w:p>
    <w:p w:rsidR="002C40B2" w:rsidRPr="00A405D6" w:rsidRDefault="002C40B2" w:rsidP="0084081D">
      <w:pPr>
        <w:tabs>
          <w:tab w:val="decimal" w:pos="576"/>
          <w:tab w:val="right" w:pos="9144"/>
        </w:tabs>
        <w:spacing w:before="120" w:line="360" w:lineRule="exact"/>
        <w:ind w:left="1276" w:hanging="851"/>
        <w:jc w:val="both"/>
        <w:rPr>
          <w:rFonts w:ascii="Calibri" w:hAnsi="Calibri" w:cs="Calibri"/>
          <w:spacing w:val="-3"/>
          <w:sz w:val="25"/>
          <w:szCs w:val="25"/>
        </w:rPr>
      </w:pPr>
      <w:r>
        <w:tab/>
      </w:r>
      <w:r>
        <w:rPr>
          <w:rFonts w:ascii="Calibri" w:hAnsi="Calibri"/>
          <w:sz w:val="25"/>
        </w:rPr>
        <w:t>3.5</w:t>
      </w:r>
      <w:r>
        <w:tab/>
      </w:r>
      <w:r>
        <w:rPr>
          <w:rFonts w:ascii="Calibri" w:hAnsi="Calibri"/>
          <w:sz w:val="25"/>
        </w:rPr>
        <w:t>Además, los miembros no judiciales de los consejos de Justicia y otros órganos relevantes</w:t>
      </w:r>
      <w:r w:rsidR="007C4DFE">
        <w:rPr>
          <w:rFonts w:ascii="Calibri" w:hAnsi="Calibri"/>
          <w:sz w:val="25"/>
        </w:rPr>
        <w:t xml:space="preserve"> </w:t>
      </w:r>
      <w:r>
        <w:rPr>
          <w:rFonts w:ascii="Calibri" w:hAnsi="Calibri"/>
          <w:spacing w:val="-4"/>
          <w:sz w:val="25"/>
        </w:rPr>
        <w:t>no deben estar implicados en política durante un período de tiempo razonable antes y después de</w:t>
      </w:r>
      <w:r w:rsidR="007C4DFE">
        <w:rPr>
          <w:rFonts w:ascii="Calibri" w:hAnsi="Calibri"/>
          <w:spacing w:val="-4"/>
          <w:sz w:val="25"/>
        </w:rPr>
        <w:t xml:space="preserve"> </w:t>
      </w:r>
      <w:r>
        <w:rPr>
          <w:rFonts w:ascii="Calibri" w:hAnsi="Calibri"/>
          <w:spacing w:val="-3"/>
          <w:sz w:val="25"/>
        </w:rPr>
        <w:t>su mandato como miembros de un consejo de Justicia u otro órgano relevante.</w:t>
      </w:r>
    </w:p>
    <w:p w:rsidR="002C40B2" w:rsidRPr="00A405D6" w:rsidRDefault="002C40B2" w:rsidP="0084081D">
      <w:pPr>
        <w:tabs>
          <w:tab w:val="decimal" w:pos="576"/>
          <w:tab w:val="right" w:pos="9144"/>
        </w:tabs>
        <w:spacing w:before="120" w:line="360" w:lineRule="exact"/>
        <w:ind w:left="1276" w:hanging="851"/>
        <w:jc w:val="both"/>
        <w:rPr>
          <w:rFonts w:ascii="Calibri" w:hAnsi="Calibri" w:cs="Calibri"/>
          <w:spacing w:val="-4"/>
          <w:sz w:val="25"/>
          <w:szCs w:val="25"/>
        </w:rPr>
      </w:pPr>
      <w:r>
        <w:tab/>
      </w:r>
      <w:r>
        <w:rPr>
          <w:rFonts w:ascii="Calibri" w:hAnsi="Calibri"/>
          <w:sz w:val="25"/>
        </w:rPr>
        <w:t>3.6</w:t>
      </w:r>
      <w:r>
        <w:tab/>
      </w:r>
      <w:r>
        <w:rPr>
          <w:rFonts w:ascii="Calibri" w:hAnsi="Calibri"/>
          <w:sz w:val="25"/>
        </w:rPr>
        <w:t>Ciertas personas nunca deben ser aptas para su nombramiento como miembros no judiciales.</w:t>
      </w:r>
      <w:r w:rsidR="007C4DFE">
        <w:rPr>
          <w:rFonts w:ascii="Calibri" w:hAnsi="Calibri"/>
          <w:sz w:val="25"/>
        </w:rPr>
        <w:t xml:space="preserve"> </w:t>
      </w:r>
      <w:r>
        <w:rPr>
          <w:rFonts w:ascii="Calibri" w:hAnsi="Calibri"/>
          <w:spacing w:val="-4"/>
          <w:sz w:val="25"/>
        </w:rPr>
        <w:t xml:space="preserve"> En concreto:</w:t>
      </w:r>
    </w:p>
    <w:p w:rsidR="002C40B2" w:rsidRPr="00A405D6" w:rsidRDefault="002C40B2" w:rsidP="0084081D">
      <w:pPr>
        <w:spacing w:line="360" w:lineRule="exact"/>
        <w:ind w:left="1296"/>
        <w:jc w:val="both"/>
        <w:rPr>
          <w:rFonts w:ascii="Calibri" w:hAnsi="Calibri" w:cs="Calibri"/>
          <w:spacing w:val="4"/>
          <w:sz w:val="25"/>
          <w:szCs w:val="25"/>
        </w:rPr>
      </w:pPr>
      <w:r>
        <w:rPr>
          <w:rFonts w:ascii="Arial" w:hAnsi="Arial"/>
          <w:spacing w:val="4"/>
        </w:rPr>
        <w:t xml:space="preserve">- </w:t>
      </w:r>
      <w:r>
        <w:rPr>
          <w:rFonts w:ascii="Calibri" w:hAnsi="Calibri"/>
          <w:spacing w:val="4"/>
          <w:sz w:val="25"/>
        </w:rPr>
        <w:t>Los jueces, aunque estén jubilados,</w:t>
      </w:r>
    </w:p>
    <w:p w:rsidR="002C40B2" w:rsidRPr="00A405D6" w:rsidRDefault="002C40B2" w:rsidP="0084081D">
      <w:pPr>
        <w:spacing w:line="360" w:lineRule="exact"/>
        <w:ind w:left="1728" w:right="144" w:hanging="432"/>
        <w:jc w:val="both"/>
        <w:rPr>
          <w:rFonts w:ascii="Calibri" w:hAnsi="Calibri" w:cs="Calibri"/>
          <w:sz w:val="25"/>
          <w:szCs w:val="25"/>
        </w:rPr>
      </w:pPr>
      <w:r>
        <w:rPr>
          <w:rFonts w:ascii="Arial" w:hAnsi="Arial"/>
        </w:rPr>
        <w:t xml:space="preserve">- </w:t>
      </w:r>
      <w:r>
        <w:rPr>
          <w:rFonts w:ascii="Calibri" w:hAnsi="Calibri"/>
          <w:sz w:val="25"/>
        </w:rPr>
        <w:t>Las personas que hayan sido condenados por delitos penales, que estén o hayan estado en quiebra, o que por otro motivo estén inhabilitad</w:t>
      </w:r>
      <w:r w:rsidR="005302C4">
        <w:rPr>
          <w:rFonts w:ascii="Calibri" w:hAnsi="Calibri"/>
          <w:sz w:val="25"/>
        </w:rPr>
        <w:t>a</w:t>
      </w:r>
      <w:r>
        <w:rPr>
          <w:rFonts w:ascii="Calibri" w:hAnsi="Calibri"/>
          <w:sz w:val="25"/>
        </w:rPr>
        <w:t xml:space="preserve">s para </w:t>
      </w:r>
      <w:r w:rsidR="005302C4">
        <w:rPr>
          <w:rFonts w:ascii="Calibri" w:hAnsi="Calibri"/>
          <w:sz w:val="25"/>
        </w:rPr>
        <w:t>ejercer</w:t>
      </w:r>
      <w:r>
        <w:rPr>
          <w:rFonts w:ascii="Calibri" w:hAnsi="Calibri"/>
          <w:sz w:val="25"/>
        </w:rPr>
        <w:t xml:space="preserve"> cargo público,</w:t>
      </w:r>
    </w:p>
    <w:p w:rsidR="002C40B2" w:rsidRPr="00A405D6" w:rsidRDefault="002C40B2" w:rsidP="0084081D">
      <w:pPr>
        <w:spacing w:line="360" w:lineRule="exact"/>
        <w:ind w:left="1296"/>
        <w:jc w:val="both"/>
        <w:rPr>
          <w:rFonts w:ascii="Calibri" w:hAnsi="Calibri" w:cs="Calibri"/>
          <w:sz w:val="25"/>
          <w:szCs w:val="25"/>
        </w:rPr>
      </w:pPr>
      <w:r>
        <w:rPr>
          <w:rFonts w:ascii="Arial" w:hAnsi="Arial"/>
        </w:rPr>
        <w:t xml:space="preserve">- </w:t>
      </w:r>
      <w:r>
        <w:rPr>
          <w:rFonts w:ascii="Calibri" w:hAnsi="Calibri"/>
          <w:sz w:val="25"/>
        </w:rPr>
        <w:t>Los parlamentarios (incluidos los antiguos parlamentarios), y</w:t>
      </w:r>
    </w:p>
    <w:p w:rsidR="002C40B2" w:rsidRPr="00A405D6" w:rsidRDefault="002C40B2" w:rsidP="0084081D">
      <w:pPr>
        <w:spacing w:line="360" w:lineRule="exact"/>
        <w:ind w:left="1296"/>
        <w:jc w:val="both"/>
        <w:rPr>
          <w:rFonts w:ascii="Calibri" w:hAnsi="Calibri" w:cs="Calibri"/>
          <w:sz w:val="25"/>
          <w:szCs w:val="25"/>
        </w:rPr>
      </w:pPr>
      <w:r>
        <w:rPr>
          <w:rFonts w:ascii="Arial" w:hAnsi="Arial"/>
        </w:rPr>
        <w:t xml:space="preserve">- </w:t>
      </w:r>
      <w:r>
        <w:rPr>
          <w:rFonts w:ascii="Calibri" w:hAnsi="Calibri"/>
          <w:sz w:val="25"/>
        </w:rPr>
        <w:t xml:space="preserve">Los miembros de gobiernos (incluso </w:t>
      </w:r>
      <w:r w:rsidR="005302C4">
        <w:rPr>
          <w:rFonts w:ascii="Calibri" w:hAnsi="Calibri"/>
          <w:sz w:val="25"/>
        </w:rPr>
        <w:t>de</w:t>
      </w:r>
      <w:r>
        <w:rPr>
          <w:rFonts w:ascii="Calibri" w:hAnsi="Calibri"/>
          <w:sz w:val="25"/>
        </w:rPr>
        <w:t xml:space="preserve"> gobiernos anteriores).</w:t>
      </w:r>
    </w:p>
    <w:p w:rsidR="002C40B2" w:rsidRPr="00A405D6" w:rsidRDefault="002C40B2" w:rsidP="0084081D">
      <w:pPr>
        <w:spacing w:before="360" w:line="360" w:lineRule="exact"/>
        <w:ind w:left="431"/>
        <w:jc w:val="both"/>
        <w:rPr>
          <w:rFonts w:ascii="Calibri" w:hAnsi="Calibri" w:cs="Calibri"/>
          <w:b/>
          <w:bCs/>
          <w:color w:val="4F81BC"/>
          <w:spacing w:val="3"/>
          <w:sz w:val="26"/>
          <w:szCs w:val="26"/>
        </w:rPr>
      </w:pPr>
      <w:r>
        <w:rPr>
          <w:rFonts w:ascii="Calibri" w:hAnsi="Calibri"/>
          <w:b/>
          <w:color w:val="4F81BC"/>
          <w:spacing w:val="3"/>
          <w:sz w:val="26"/>
        </w:rPr>
        <w:t>4. El estatuto de los miembros no judiciales</w:t>
      </w:r>
    </w:p>
    <w:p w:rsidR="002C40B2" w:rsidRPr="00A405D6" w:rsidRDefault="002C40B2" w:rsidP="0084081D">
      <w:pPr>
        <w:tabs>
          <w:tab w:val="decimal" w:pos="576"/>
          <w:tab w:val="right" w:pos="9144"/>
        </w:tabs>
        <w:spacing w:before="120" w:line="360" w:lineRule="exact"/>
        <w:ind w:left="1276" w:hanging="850"/>
        <w:jc w:val="both"/>
        <w:rPr>
          <w:rFonts w:ascii="Calibri" w:hAnsi="Calibri" w:cs="Calibri"/>
          <w:sz w:val="25"/>
          <w:szCs w:val="25"/>
        </w:rPr>
      </w:pPr>
      <w:r>
        <w:tab/>
      </w:r>
      <w:r>
        <w:rPr>
          <w:rFonts w:ascii="Calibri" w:hAnsi="Calibri"/>
          <w:sz w:val="25"/>
        </w:rPr>
        <w:t>4.1</w:t>
      </w:r>
      <w:r>
        <w:tab/>
      </w:r>
      <w:r>
        <w:rPr>
          <w:rFonts w:ascii="Calibri" w:hAnsi="Calibri"/>
          <w:sz w:val="25"/>
        </w:rPr>
        <w:t xml:space="preserve">Los miembros no judiciales deben </w:t>
      </w:r>
      <w:r w:rsidR="005302C4">
        <w:rPr>
          <w:rFonts w:ascii="Calibri" w:hAnsi="Calibri"/>
          <w:sz w:val="25"/>
        </w:rPr>
        <w:t>estar sujetos a los mismos</w:t>
      </w:r>
      <w:r>
        <w:rPr>
          <w:rFonts w:ascii="Calibri" w:hAnsi="Calibri"/>
          <w:sz w:val="25"/>
        </w:rPr>
        <w:t xml:space="preserve"> derechos y obligaciones </w:t>
      </w:r>
      <w:r w:rsidR="005302C4">
        <w:rPr>
          <w:rFonts w:ascii="Calibri" w:hAnsi="Calibri"/>
          <w:sz w:val="25"/>
        </w:rPr>
        <w:t>que</w:t>
      </w:r>
      <w:r>
        <w:rPr>
          <w:rFonts w:ascii="Calibri" w:hAnsi="Calibri"/>
          <w:sz w:val="25"/>
        </w:rPr>
        <w:t xml:space="preserve"> los miembros judiciales.</w:t>
      </w:r>
    </w:p>
    <w:p w:rsidR="002C40B2" w:rsidRPr="00A405D6" w:rsidRDefault="002C40B2" w:rsidP="0084081D">
      <w:pPr>
        <w:tabs>
          <w:tab w:val="decimal" w:pos="576"/>
          <w:tab w:val="right" w:pos="9144"/>
        </w:tabs>
        <w:spacing w:before="120" w:line="360" w:lineRule="exact"/>
        <w:ind w:left="1276" w:hanging="850"/>
        <w:jc w:val="both"/>
        <w:rPr>
          <w:rFonts w:ascii="Calibri" w:hAnsi="Calibri" w:cs="Calibri"/>
          <w:sz w:val="25"/>
          <w:szCs w:val="25"/>
        </w:rPr>
      </w:pPr>
      <w:r>
        <w:tab/>
      </w:r>
      <w:r>
        <w:rPr>
          <w:rFonts w:ascii="Calibri" w:hAnsi="Calibri"/>
          <w:sz w:val="25"/>
        </w:rPr>
        <w:t>4.2</w:t>
      </w:r>
      <w:r>
        <w:tab/>
      </w:r>
      <w:r>
        <w:rPr>
          <w:rFonts w:ascii="Calibri" w:hAnsi="Calibri"/>
          <w:sz w:val="25"/>
        </w:rPr>
        <w:t>Los miembros judiciales y no judiciales deben participar en el proceso de toma de decisiones.</w:t>
      </w:r>
    </w:p>
    <w:p w:rsidR="002C40B2" w:rsidRPr="00A405D6" w:rsidRDefault="002C40B2" w:rsidP="0084081D">
      <w:pPr>
        <w:spacing w:before="120" w:line="360" w:lineRule="exact"/>
        <w:ind w:left="1298"/>
        <w:jc w:val="both"/>
        <w:rPr>
          <w:rFonts w:ascii="Calibri" w:hAnsi="Calibri" w:cs="Calibri"/>
          <w:spacing w:val="-1"/>
          <w:sz w:val="25"/>
          <w:szCs w:val="25"/>
        </w:rPr>
      </w:pPr>
      <w:r>
        <w:rPr>
          <w:rFonts w:ascii="Calibri" w:hAnsi="Calibri"/>
          <w:spacing w:val="-1"/>
          <w:sz w:val="25"/>
        </w:rPr>
        <w:t xml:space="preserve"> Para garantizar la participación efectiva de los miembros no judiciales,</w:t>
      </w:r>
    </w:p>
    <w:p w:rsidR="002C40B2" w:rsidRPr="00A405D6" w:rsidRDefault="002C40B2" w:rsidP="0084081D">
      <w:pPr>
        <w:spacing w:before="100" w:line="225" w:lineRule="exact"/>
        <w:ind w:left="72" w:right="90"/>
        <w:jc w:val="right"/>
        <w:rPr>
          <w:rFonts w:ascii="Calibri" w:hAnsi="Calibri" w:cs="Calibri"/>
          <w:spacing w:val="-8"/>
          <w:sz w:val="22"/>
          <w:szCs w:val="22"/>
        </w:rPr>
      </w:pPr>
      <w:r>
        <w:rPr>
          <w:rFonts w:ascii="Calibri" w:hAnsi="Calibri"/>
          <w:spacing w:val="-8"/>
          <w:sz w:val="22"/>
        </w:rPr>
        <w:t>12</w:t>
      </w:r>
    </w:p>
    <w:p w:rsidR="002C40B2" w:rsidRPr="00A405D6" w:rsidRDefault="002C40B2" w:rsidP="0084081D">
      <w:pPr>
        <w:spacing w:before="44" w:line="226" w:lineRule="exact"/>
        <w:ind w:left="72"/>
        <w:jc w:val="both"/>
        <w:rPr>
          <w:rFonts w:ascii="Calibri" w:hAnsi="Calibri" w:cs="Calibri"/>
          <w:sz w:val="22"/>
          <w:szCs w:val="22"/>
        </w:rPr>
      </w:pPr>
      <w:r>
        <w:rPr>
          <w:rFonts w:ascii="Calibri" w:hAnsi="Calibri"/>
          <w:sz w:val="22"/>
        </w:rPr>
        <w:t>Proyecto de la RECJ sobre los miembros no judiciales en la gobernanza judicial 2015-2016 - aprobado por la</w:t>
      </w:r>
      <w:r w:rsidR="00CE0C66">
        <w:rPr>
          <w:rFonts w:ascii="Calibri" w:hAnsi="Calibri"/>
          <w:sz w:val="22"/>
        </w:rPr>
        <w:t xml:space="preserve"> </w:t>
      </w:r>
      <w:r>
        <w:rPr>
          <w:rFonts w:ascii="Calibri" w:hAnsi="Calibri"/>
          <w:sz w:val="22"/>
        </w:rPr>
        <w:t>Asamblea General el 3 de junio de 2016</w:t>
      </w:r>
    </w:p>
    <w:p w:rsidR="002C40B2" w:rsidRPr="0084081D" w:rsidRDefault="003D3904" w:rsidP="0084081D">
      <w:pPr>
        <w:spacing w:before="43" w:line="226" w:lineRule="exact"/>
        <w:ind w:left="72"/>
        <w:jc w:val="both"/>
        <w:rPr>
          <w:rFonts w:ascii="Calibri" w:hAnsi="Calibri" w:cs="Calibri"/>
          <w:sz w:val="22"/>
          <w:szCs w:val="22"/>
          <w:lang w:val="en-US"/>
        </w:rPr>
      </w:pPr>
      <w:hyperlink r:id="rId18">
        <w:r w:rsidR="002C40B2" w:rsidRPr="0084081D">
          <w:rPr>
            <w:rFonts w:ascii="Calibri" w:hAnsi="Calibri"/>
            <w:color w:val="0000FF"/>
            <w:sz w:val="22"/>
            <w:u w:val="single"/>
            <w:lang w:val="en-US"/>
          </w:rPr>
          <w:t>www.encj.eu</w:t>
        </w:r>
      </w:hyperlink>
    </w:p>
    <w:p w:rsidR="002C40B2" w:rsidRPr="0084081D" w:rsidRDefault="002C40B2" w:rsidP="0084081D">
      <w:pPr>
        <w:spacing w:before="42" w:line="226" w:lineRule="exact"/>
        <w:ind w:left="72"/>
        <w:jc w:val="both"/>
        <w:rPr>
          <w:rFonts w:ascii="Calibri" w:hAnsi="Calibri" w:cs="Calibri"/>
          <w:sz w:val="22"/>
          <w:szCs w:val="22"/>
          <w:lang w:val="en-US"/>
        </w:rPr>
      </w:pPr>
      <w:proofErr w:type="spellStart"/>
      <w:r w:rsidRPr="0084081D">
        <w:rPr>
          <w:rFonts w:ascii="Calibri" w:hAnsi="Calibri"/>
          <w:sz w:val="22"/>
          <w:lang w:val="en-US"/>
        </w:rPr>
        <w:t>office@encj.euENCJ</w:t>
      </w:r>
      <w:proofErr w:type="spellEnd"/>
      <w:r w:rsidRPr="0084081D">
        <w:rPr>
          <w:rFonts w:ascii="Calibri" w:hAnsi="Calibri"/>
          <w:sz w:val="22"/>
          <w:lang w:val="en-US"/>
        </w:rPr>
        <w:t xml:space="preserve"> report</w:t>
      </w:r>
    </w:p>
    <w:p w:rsidR="002C40B2" w:rsidRPr="0084081D" w:rsidRDefault="002C40B2" w:rsidP="0084081D">
      <w:pPr>
        <w:widowControl/>
        <w:kinsoku/>
        <w:overflowPunct/>
        <w:autoSpaceDE w:val="0"/>
        <w:autoSpaceDN w:val="0"/>
        <w:adjustRightInd w:val="0"/>
        <w:jc w:val="both"/>
        <w:textAlignment w:val="auto"/>
        <w:rPr>
          <w:lang w:val="en-US"/>
        </w:rPr>
        <w:sectPr w:rsidR="002C40B2" w:rsidRPr="0084081D">
          <w:pgSz w:w="11909" w:h="16838"/>
          <w:pgMar w:top="1400" w:right="1212" w:bottom="322" w:left="1277" w:header="720" w:footer="720" w:gutter="0"/>
          <w:cols w:space="720"/>
          <w:noEndnote/>
        </w:sectPr>
      </w:pPr>
    </w:p>
    <w:p w:rsidR="002C40B2" w:rsidRPr="00A405D6" w:rsidRDefault="002C40B2" w:rsidP="0084081D">
      <w:pPr>
        <w:spacing w:line="389" w:lineRule="exact"/>
        <w:ind w:left="1296" w:right="144"/>
        <w:jc w:val="both"/>
        <w:rPr>
          <w:rFonts w:ascii="Calibri" w:hAnsi="Calibri" w:cs="Calibri"/>
          <w:sz w:val="25"/>
          <w:szCs w:val="25"/>
        </w:rPr>
      </w:pPr>
      <w:proofErr w:type="gramStart"/>
      <w:r>
        <w:rPr>
          <w:rFonts w:ascii="Calibri" w:hAnsi="Calibri"/>
          <w:sz w:val="25"/>
        </w:rPr>
        <w:lastRenderedPageBreak/>
        <w:t>se</w:t>
      </w:r>
      <w:proofErr w:type="gramEnd"/>
      <w:r>
        <w:rPr>
          <w:rFonts w:ascii="Calibri" w:hAnsi="Calibri"/>
          <w:sz w:val="25"/>
        </w:rPr>
        <w:t xml:space="preserve"> recomienda que se establezca un quórum adecuado para la composición de los órganos y los procedimientos de votación (mayoría para la aprobación de resoluciones) que haga efectiva esta aspiración.</w:t>
      </w:r>
    </w:p>
    <w:p w:rsidR="002C40B2" w:rsidRPr="00A405D6" w:rsidRDefault="002C40B2" w:rsidP="0084081D">
      <w:pPr>
        <w:tabs>
          <w:tab w:val="decimal" w:pos="576"/>
          <w:tab w:val="right" w:pos="9144"/>
        </w:tabs>
        <w:spacing w:before="314" w:line="389" w:lineRule="exact"/>
        <w:ind w:left="1417" w:hanging="992"/>
        <w:jc w:val="both"/>
        <w:rPr>
          <w:rFonts w:ascii="Calibri" w:hAnsi="Calibri" w:cs="Calibri"/>
          <w:sz w:val="25"/>
          <w:szCs w:val="25"/>
        </w:rPr>
      </w:pPr>
      <w:r>
        <w:tab/>
      </w:r>
      <w:r>
        <w:rPr>
          <w:rFonts w:ascii="Calibri" w:hAnsi="Calibri"/>
          <w:sz w:val="25"/>
        </w:rPr>
        <w:t>4.3</w:t>
      </w:r>
      <w:r>
        <w:tab/>
      </w:r>
      <w:r>
        <w:rPr>
          <w:rFonts w:ascii="Calibri" w:hAnsi="Calibri"/>
          <w:sz w:val="25"/>
        </w:rPr>
        <w:t>Los miembros no judiciales deben gozar del mismo derecho a voto y deben participar</w:t>
      </w:r>
      <w:r w:rsidR="00A50E2F">
        <w:rPr>
          <w:rFonts w:ascii="Calibri" w:hAnsi="Calibri"/>
          <w:sz w:val="25"/>
        </w:rPr>
        <w:t xml:space="preserve"> </w:t>
      </w:r>
      <w:r>
        <w:rPr>
          <w:rFonts w:ascii="Calibri" w:hAnsi="Calibri"/>
          <w:sz w:val="25"/>
        </w:rPr>
        <w:t>en el trabajo de todos los órganos relevantes, incluida la presidencia de comisiones, grupos de trabajo y subcomisiones creados por los consejos de Justicia. Por ese motivo, deben gozar del mismo acceso que los miembros judiciales al personal auxiliar y de asistencia técnica, a los documentos y a los recursos.</w:t>
      </w:r>
    </w:p>
    <w:p w:rsidR="002C40B2" w:rsidRPr="00A405D6" w:rsidRDefault="002C40B2" w:rsidP="0084081D">
      <w:pPr>
        <w:tabs>
          <w:tab w:val="decimal" w:pos="576"/>
          <w:tab w:val="right" w:pos="9144"/>
        </w:tabs>
        <w:spacing w:before="311" w:line="389" w:lineRule="exact"/>
        <w:ind w:left="1417" w:hanging="992"/>
        <w:jc w:val="both"/>
        <w:rPr>
          <w:rFonts w:ascii="Calibri" w:hAnsi="Calibri" w:cs="Calibri"/>
          <w:spacing w:val="-3"/>
          <w:sz w:val="25"/>
          <w:szCs w:val="25"/>
        </w:rPr>
      </w:pPr>
      <w:r>
        <w:tab/>
      </w:r>
      <w:r>
        <w:rPr>
          <w:rFonts w:ascii="Calibri" w:hAnsi="Calibri"/>
          <w:sz w:val="25"/>
        </w:rPr>
        <w:t>4.4</w:t>
      </w:r>
      <w:r>
        <w:tab/>
      </w:r>
      <w:r>
        <w:rPr>
          <w:rFonts w:ascii="Calibri" w:hAnsi="Calibri"/>
          <w:sz w:val="25"/>
        </w:rPr>
        <w:t>Los miembros no judiciales deben percibir la misma remuneración y dietas que los miembros judiciales</w:t>
      </w:r>
      <w:r w:rsidR="00A50E2F">
        <w:rPr>
          <w:rFonts w:ascii="Calibri" w:hAnsi="Calibri"/>
          <w:sz w:val="25"/>
        </w:rPr>
        <w:t xml:space="preserve"> </w:t>
      </w:r>
      <w:r>
        <w:rPr>
          <w:rFonts w:ascii="Calibri" w:hAnsi="Calibri"/>
          <w:spacing w:val="-3"/>
          <w:sz w:val="25"/>
        </w:rPr>
        <w:t>por sus actividades en los consejos de Justicia y otros órganos relevantes.</w:t>
      </w:r>
    </w:p>
    <w:p w:rsidR="002C40B2" w:rsidRPr="00A405D6" w:rsidRDefault="002C40B2" w:rsidP="0084081D">
      <w:pPr>
        <w:spacing w:before="360" w:line="286" w:lineRule="exact"/>
        <w:ind w:left="431"/>
        <w:jc w:val="both"/>
        <w:rPr>
          <w:rFonts w:ascii="Calibri" w:hAnsi="Calibri" w:cs="Calibri"/>
          <w:b/>
          <w:bCs/>
          <w:color w:val="4F81BC"/>
          <w:spacing w:val="8"/>
          <w:sz w:val="26"/>
          <w:szCs w:val="26"/>
        </w:rPr>
      </w:pPr>
      <w:r>
        <w:rPr>
          <w:rFonts w:ascii="Calibri" w:hAnsi="Calibri"/>
          <w:b/>
          <w:color w:val="4F81BC"/>
          <w:spacing w:val="8"/>
          <w:sz w:val="26"/>
        </w:rPr>
        <w:t>5. Conducta</w:t>
      </w:r>
    </w:p>
    <w:p w:rsidR="002C40B2" w:rsidRPr="00A405D6" w:rsidRDefault="002C40B2" w:rsidP="0084081D">
      <w:pPr>
        <w:tabs>
          <w:tab w:val="decimal" w:pos="576"/>
          <w:tab w:val="right" w:pos="9144"/>
        </w:tabs>
        <w:spacing w:before="302" w:line="389" w:lineRule="exact"/>
        <w:ind w:left="1417" w:hanging="992"/>
        <w:jc w:val="both"/>
        <w:rPr>
          <w:rFonts w:ascii="Calibri" w:hAnsi="Calibri" w:cs="Calibri"/>
          <w:sz w:val="25"/>
          <w:szCs w:val="25"/>
        </w:rPr>
      </w:pPr>
      <w:r>
        <w:tab/>
      </w:r>
      <w:r>
        <w:rPr>
          <w:rFonts w:ascii="Calibri" w:hAnsi="Calibri"/>
          <w:sz w:val="25"/>
        </w:rPr>
        <w:t>5.1</w:t>
      </w:r>
      <w:r>
        <w:tab/>
      </w:r>
      <w:r>
        <w:rPr>
          <w:rFonts w:ascii="Calibri" w:hAnsi="Calibri"/>
          <w:sz w:val="25"/>
        </w:rPr>
        <w:t>Los miembros no judiciales, mientras presten servicio en los consejos de Justicia y otros órganos relevantes,</w:t>
      </w:r>
      <w:r w:rsidR="00A50E2F">
        <w:rPr>
          <w:rFonts w:ascii="Calibri" w:hAnsi="Calibri"/>
          <w:sz w:val="25"/>
        </w:rPr>
        <w:t xml:space="preserve"> </w:t>
      </w:r>
      <w:r>
        <w:rPr>
          <w:rFonts w:ascii="Calibri" w:hAnsi="Calibri"/>
          <w:sz w:val="25"/>
        </w:rPr>
        <w:t>deben estar sujetos a cualquier norma de conducta aplicable a los miembros judiciales de dichos órganos.</w:t>
      </w:r>
    </w:p>
    <w:p w:rsidR="002C40B2" w:rsidRPr="00A405D6" w:rsidRDefault="002C40B2" w:rsidP="0084081D">
      <w:pPr>
        <w:tabs>
          <w:tab w:val="decimal" w:pos="576"/>
          <w:tab w:val="right" w:pos="9144"/>
        </w:tabs>
        <w:spacing w:before="315" w:line="389" w:lineRule="exact"/>
        <w:ind w:left="1417" w:hanging="992"/>
        <w:jc w:val="both"/>
        <w:rPr>
          <w:rFonts w:ascii="Calibri" w:hAnsi="Calibri" w:cs="Calibri"/>
          <w:spacing w:val="-5"/>
          <w:sz w:val="25"/>
          <w:szCs w:val="25"/>
        </w:rPr>
      </w:pPr>
      <w:r>
        <w:tab/>
      </w:r>
      <w:r>
        <w:rPr>
          <w:rFonts w:ascii="Calibri" w:hAnsi="Calibri"/>
          <w:sz w:val="25"/>
        </w:rPr>
        <w:t>5.2</w:t>
      </w:r>
      <w:r>
        <w:tab/>
      </w:r>
      <w:r>
        <w:rPr>
          <w:rFonts w:ascii="Calibri" w:hAnsi="Calibri"/>
          <w:sz w:val="25"/>
        </w:rPr>
        <w:t>Al elaborar las normas de conducta para los consejos de Justicia y otros órganos relevantes,</w:t>
      </w:r>
      <w:r w:rsidR="00A50E2F">
        <w:rPr>
          <w:rFonts w:ascii="Calibri" w:hAnsi="Calibri"/>
          <w:sz w:val="25"/>
        </w:rPr>
        <w:t xml:space="preserve"> </w:t>
      </w:r>
      <w:r>
        <w:rPr>
          <w:rFonts w:ascii="Calibri" w:hAnsi="Calibri"/>
          <w:spacing w:val="-5"/>
          <w:sz w:val="25"/>
        </w:rPr>
        <w:t>debe tenerse en cuenta la presencia en dichos órganos de los miembros no judiciales.</w:t>
      </w:r>
    </w:p>
    <w:p w:rsidR="002C40B2" w:rsidRPr="00A405D6" w:rsidRDefault="002C40B2" w:rsidP="0084081D">
      <w:pPr>
        <w:tabs>
          <w:tab w:val="decimal" w:pos="576"/>
          <w:tab w:val="right" w:pos="9144"/>
        </w:tabs>
        <w:spacing w:before="315" w:line="389" w:lineRule="exact"/>
        <w:ind w:left="1417" w:hanging="992"/>
        <w:jc w:val="both"/>
        <w:rPr>
          <w:rFonts w:ascii="Calibri" w:hAnsi="Calibri" w:cs="Calibri"/>
          <w:spacing w:val="-4"/>
          <w:sz w:val="25"/>
          <w:szCs w:val="25"/>
        </w:rPr>
      </w:pPr>
      <w:r>
        <w:tab/>
      </w:r>
      <w:r>
        <w:rPr>
          <w:rFonts w:ascii="Calibri" w:hAnsi="Calibri"/>
          <w:sz w:val="25"/>
        </w:rPr>
        <w:t>5.3</w:t>
      </w:r>
      <w:r>
        <w:tab/>
      </w:r>
      <w:r>
        <w:rPr>
          <w:rFonts w:ascii="Calibri" w:hAnsi="Calibri"/>
          <w:sz w:val="25"/>
        </w:rPr>
        <w:t xml:space="preserve">En </w:t>
      </w:r>
      <w:r w:rsidR="00A50E2F">
        <w:rPr>
          <w:rFonts w:ascii="Calibri" w:hAnsi="Calibri"/>
          <w:sz w:val="25"/>
        </w:rPr>
        <w:t>concreto</w:t>
      </w:r>
      <w:r>
        <w:rPr>
          <w:rFonts w:ascii="Calibri" w:hAnsi="Calibri"/>
          <w:sz w:val="25"/>
        </w:rPr>
        <w:t>, las normas de conducta redactadas deben abordar las siguientes</w:t>
      </w:r>
      <w:r w:rsidR="00A50E2F">
        <w:rPr>
          <w:rFonts w:ascii="Calibri" w:hAnsi="Calibri"/>
          <w:sz w:val="25"/>
        </w:rPr>
        <w:t xml:space="preserve"> </w:t>
      </w:r>
      <w:r>
        <w:rPr>
          <w:rFonts w:ascii="Calibri" w:hAnsi="Calibri"/>
          <w:spacing w:val="-4"/>
          <w:sz w:val="25"/>
        </w:rPr>
        <w:t xml:space="preserve">cuestiones (en función de </w:t>
      </w:r>
      <w:r w:rsidR="00A50E2F">
        <w:rPr>
          <w:rFonts w:ascii="Calibri" w:hAnsi="Calibri"/>
          <w:spacing w:val="-4"/>
          <w:sz w:val="25"/>
        </w:rPr>
        <w:t>las competencias de cada órgano</w:t>
      </w:r>
      <w:r>
        <w:rPr>
          <w:rFonts w:ascii="Calibri" w:hAnsi="Calibri"/>
          <w:spacing w:val="-4"/>
          <w:sz w:val="25"/>
        </w:rPr>
        <w:t xml:space="preserve">): la confidencialidad </w:t>
      </w:r>
      <w:r w:rsidR="00A50E2F">
        <w:rPr>
          <w:rFonts w:ascii="Calibri" w:hAnsi="Calibri"/>
          <w:spacing w:val="-4"/>
          <w:sz w:val="25"/>
        </w:rPr>
        <w:t>en</w:t>
      </w:r>
      <w:r>
        <w:rPr>
          <w:rFonts w:ascii="Calibri" w:hAnsi="Calibri"/>
          <w:spacing w:val="-4"/>
          <w:sz w:val="25"/>
        </w:rPr>
        <w:t xml:space="preserve"> todas las cuestiones; la honestidad; la objetividad e imparcialidad; la obligación de asistir a las reuniones; la obligación de cumplir las tareas; y la obligación de inhibirse en caso de conflicto de intereses.</w:t>
      </w:r>
    </w:p>
    <w:p w:rsidR="002C40B2" w:rsidRPr="00A405D6" w:rsidRDefault="002C40B2" w:rsidP="0084081D">
      <w:pPr>
        <w:tabs>
          <w:tab w:val="decimal" w:pos="576"/>
          <w:tab w:val="right" w:pos="9144"/>
        </w:tabs>
        <w:spacing w:before="316" w:line="389" w:lineRule="exact"/>
        <w:ind w:left="1417" w:hanging="992"/>
        <w:jc w:val="both"/>
        <w:rPr>
          <w:rFonts w:ascii="Calibri" w:hAnsi="Calibri" w:cs="Calibri"/>
          <w:spacing w:val="-3"/>
          <w:sz w:val="25"/>
          <w:szCs w:val="25"/>
        </w:rPr>
      </w:pPr>
      <w:r>
        <w:tab/>
      </w:r>
      <w:r>
        <w:rPr>
          <w:rFonts w:ascii="Calibri" w:hAnsi="Calibri"/>
          <w:sz w:val="25"/>
        </w:rPr>
        <w:t>5.4</w:t>
      </w:r>
      <w:r>
        <w:tab/>
      </w:r>
      <w:r>
        <w:rPr>
          <w:rFonts w:ascii="Calibri" w:hAnsi="Calibri"/>
          <w:sz w:val="25"/>
        </w:rPr>
        <w:t>A falta de tales normas de conducta, la conducta de los miembros no judiciales puede</w:t>
      </w:r>
      <w:r w:rsidR="00A50E2F">
        <w:rPr>
          <w:rFonts w:ascii="Calibri" w:hAnsi="Calibri"/>
          <w:sz w:val="25"/>
        </w:rPr>
        <w:t xml:space="preserve"> </w:t>
      </w:r>
      <w:r>
        <w:rPr>
          <w:rFonts w:ascii="Calibri" w:hAnsi="Calibri"/>
          <w:spacing w:val="-3"/>
          <w:sz w:val="25"/>
        </w:rPr>
        <w:t>regirse por lo dispuesto en los “Siete Principios de la Vida Pública” u otras normas similares.</w:t>
      </w:r>
    </w:p>
    <w:p w:rsidR="002C40B2" w:rsidRPr="00A405D6" w:rsidRDefault="002C40B2" w:rsidP="0084081D">
      <w:pPr>
        <w:spacing w:before="360" w:line="225" w:lineRule="exact"/>
        <w:ind w:left="74" w:right="91"/>
        <w:jc w:val="right"/>
        <w:rPr>
          <w:rFonts w:ascii="Calibri" w:hAnsi="Calibri" w:cs="Calibri"/>
          <w:spacing w:val="-8"/>
          <w:sz w:val="22"/>
          <w:szCs w:val="22"/>
        </w:rPr>
      </w:pPr>
      <w:r>
        <w:rPr>
          <w:rFonts w:ascii="Calibri" w:hAnsi="Calibri"/>
          <w:spacing w:val="-8"/>
          <w:sz w:val="22"/>
        </w:rPr>
        <w:t>13</w:t>
      </w:r>
    </w:p>
    <w:p w:rsidR="002C40B2" w:rsidRPr="00A405D6" w:rsidRDefault="002C40B2" w:rsidP="0084081D">
      <w:pPr>
        <w:spacing w:before="44" w:line="226" w:lineRule="exact"/>
        <w:ind w:left="72"/>
        <w:jc w:val="both"/>
        <w:rPr>
          <w:rFonts w:ascii="Calibri" w:hAnsi="Calibri" w:cs="Calibri"/>
          <w:sz w:val="22"/>
          <w:szCs w:val="22"/>
        </w:rPr>
      </w:pPr>
      <w:r>
        <w:rPr>
          <w:rFonts w:ascii="Calibri" w:hAnsi="Calibri"/>
          <w:sz w:val="22"/>
        </w:rPr>
        <w:t>Proyecto de la RECJ sobre los miembros no judiciales en la gobernanza judicial 2015-2016 - aprobado por la</w:t>
      </w:r>
      <w:r w:rsidR="00A50E2F">
        <w:rPr>
          <w:rFonts w:ascii="Calibri" w:hAnsi="Calibri"/>
          <w:sz w:val="22"/>
        </w:rPr>
        <w:t xml:space="preserve"> </w:t>
      </w:r>
      <w:r>
        <w:rPr>
          <w:rFonts w:ascii="Calibri" w:hAnsi="Calibri"/>
          <w:sz w:val="22"/>
        </w:rPr>
        <w:t>Asamblea General el 3 de junio de 2016</w:t>
      </w:r>
    </w:p>
    <w:p w:rsidR="002C40B2" w:rsidRPr="0084081D" w:rsidRDefault="003D3904" w:rsidP="0084081D">
      <w:pPr>
        <w:spacing w:before="43" w:line="226" w:lineRule="exact"/>
        <w:ind w:left="72"/>
        <w:jc w:val="both"/>
        <w:rPr>
          <w:rFonts w:ascii="Calibri" w:hAnsi="Calibri" w:cs="Calibri"/>
          <w:sz w:val="22"/>
          <w:szCs w:val="22"/>
          <w:lang w:val="en-US"/>
        </w:rPr>
      </w:pPr>
      <w:hyperlink r:id="rId19">
        <w:r w:rsidR="002C40B2" w:rsidRPr="0084081D">
          <w:rPr>
            <w:rFonts w:ascii="Calibri" w:hAnsi="Calibri"/>
            <w:color w:val="0000FF"/>
            <w:sz w:val="22"/>
            <w:u w:val="single"/>
            <w:lang w:val="en-US"/>
          </w:rPr>
          <w:t>www.encj.eu</w:t>
        </w:r>
      </w:hyperlink>
    </w:p>
    <w:p w:rsidR="002C40B2" w:rsidRPr="0084081D" w:rsidRDefault="002C40B2" w:rsidP="0084081D">
      <w:pPr>
        <w:spacing w:before="42" w:line="226" w:lineRule="exact"/>
        <w:ind w:left="72"/>
        <w:jc w:val="both"/>
        <w:rPr>
          <w:rFonts w:ascii="Calibri" w:hAnsi="Calibri" w:cs="Calibri"/>
          <w:sz w:val="22"/>
          <w:szCs w:val="22"/>
          <w:lang w:val="en-US"/>
        </w:rPr>
      </w:pPr>
      <w:proofErr w:type="spellStart"/>
      <w:r w:rsidRPr="0084081D">
        <w:rPr>
          <w:rFonts w:ascii="Calibri" w:hAnsi="Calibri"/>
          <w:sz w:val="22"/>
          <w:lang w:val="en-US"/>
        </w:rPr>
        <w:t>office@encj.euENCJ</w:t>
      </w:r>
      <w:proofErr w:type="spellEnd"/>
      <w:r w:rsidRPr="0084081D">
        <w:rPr>
          <w:rFonts w:ascii="Calibri" w:hAnsi="Calibri"/>
          <w:sz w:val="22"/>
          <w:lang w:val="en-US"/>
        </w:rPr>
        <w:t xml:space="preserve"> report</w:t>
      </w:r>
    </w:p>
    <w:p w:rsidR="002C40B2" w:rsidRPr="0084081D" w:rsidRDefault="002C40B2" w:rsidP="0084081D">
      <w:pPr>
        <w:widowControl/>
        <w:kinsoku/>
        <w:overflowPunct/>
        <w:autoSpaceDE w:val="0"/>
        <w:autoSpaceDN w:val="0"/>
        <w:adjustRightInd w:val="0"/>
        <w:jc w:val="both"/>
        <w:textAlignment w:val="auto"/>
        <w:rPr>
          <w:lang w:val="en-US"/>
        </w:rPr>
        <w:sectPr w:rsidR="002C40B2" w:rsidRPr="0084081D">
          <w:pgSz w:w="11909" w:h="16838"/>
          <w:pgMar w:top="1400" w:right="1209" w:bottom="322" w:left="1280" w:header="720" w:footer="720" w:gutter="0"/>
          <w:cols w:space="720"/>
          <w:noEndnote/>
        </w:sectPr>
      </w:pPr>
    </w:p>
    <w:p w:rsidR="002C40B2" w:rsidRPr="00A405D6" w:rsidRDefault="00A405D6" w:rsidP="0084081D">
      <w:pPr>
        <w:spacing w:before="52" w:line="324" w:lineRule="exact"/>
        <w:ind w:left="72"/>
        <w:jc w:val="both"/>
        <w:rPr>
          <w:rFonts w:ascii="Calibri" w:hAnsi="Calibri" w:cs="Calibri"/>
          <w:sz w:val="22"/>
          <w:szCs w:val="22"/>
        </w:rPr>
      </w:pPr>
      <w:r>
        <w:rPr>
          <w:rFonts w:ascii="Calibri" w:hAnsi="Calibri"/>
          <w:b/>
          <w:color w:val="345A89"/>
          <w:sz w:val="32"/>
        </w:rPr>
        <w:lastRenderedPageBreak/>
        <w:t xml:space="preserve">(…) </w:t>
      </w:r>
    </w:p>
    <w:sectPr w:rsidR="002C40B2" w:rsidRPr="00A405D6" w:rsidSect="00A405D6">
      <w:pgSz w:w="11909" w:h="16838"/>
      <w:pgMar w:top="1400" w:right="1214" w:bottom="322" w:left="127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C57C9"/>
    <w:multiLevelType w:val="singleLevel"/>
    <w:tmpl w:val="61518519"/>
    <w:lvl w:ilvl="0">
      <w:start w:val="1"/>
      <w:numFmt w:val="decimal"/>
      <w:lvlText w:val="%1."/>
      <w:lvlJc w:val="left"/>
      <w:pPr>
        <w:tabs>
          <w:tab w:val="num" w:pos="720"/>
        </w:tabs>
        <w:ind w:left="360"/>
      </w:pPr>
      <w:rPr>
        <w:rFonts w:ascii="Calibri" w:hAnsi="Calibri" w:cs="Calibri"/>
        <w:snapToGrid/>
        <w:spacing w:val="-2"/>
        <w:sz w:val="23"/>
        <w:szCs w:val="23"/>
      </w:rPr>
    </w:lvl>
  </w:abstractNum>
  <w:abstractNum w:abstractNumId="1">
    <w:nsid w:val="0285D9CB"/>
    <w:multiLevelType w:val="singleLevel"/>
    <w:tmpl w:val="2EB6BB4F"/>
    <w:lvl w:ilvl="0">
      <w:start w:val="1"/>
      <w:numFmt w:val="upperRoman"/>
      <w:lvlText w:val="%1."/>
      <w:lvlJc w:val="left"/>
      <w:pPr>
        <w:tabs>
          <w:tab w:val="num" w:pos="1584"/>
        </w:tabs>
        <w:ind w:left="1584" w:hanging="432"/>
      </w:pPr>
      <w:rPr>
        <w:rFonts w:ascii="Calibri" w:hAnsi="Calibri" w:cs="Calibri"/>
        <w:snapToGrid/>
        <w:spacing w:val="-5"/>
        <w:sz w:val="25"/>
        <w:szCs w:val="25"/>
      </w:rPr>
    </w:lvl>
  </w:abstractNum>
  <w:abstractNum w:abstractNumId="2">
    <w:nsid w:val="03BF7F3E"/>
    <w:multiLevelType w:val="singleLevel"/>
    <w:tmpl w:val="0FE0ECEC"/>
    <w:lvl w:ilvl="0">
      <w:start w:val="16"/>
      <w:numFmt w:val="decimal"/>
      <w:lvlText w:val="%1."/>
      <w:lvlJc w:val="left"/>
      <w:pPr>
        <w:tabs>
          <w:tab w:val="num" w:pos="1440"/>
        </w:tabs>
        <w:ind w:left="72" w:firstLine="936"/>
      </w:pPr>
      <w:rPr>
        <w:rFonts w:ascii="Calibri" w:hAnsi="Calibri" w:cs="Calibri"/>
        <w:i/>
        <w:iCs/>
        <w:snapToGrid/>
        <w:spacing w:val="-3"/>
        <w:sz w:val="24"/>
        <w:szCs w:val="24"/>
      </w:rPr>
    </w:lvl>
  </w:abstractNum>
  <w:abstractNum w:abstractNumId="3">
    <w:nsid w:val="056598E2"/>
    <w:multiLevelType w:val="singleLevel"/>
    <w:tmpl w:val="65D3E6E8"/>
    <w:lvl w:ilvl="0">
      <w:start w:val="1"/>
      <w:numFmt w:val="decimal"/>
      <w:lvlText w:val="%1."/>
      <w:lvlJc w:val="left"/>
      <w:pPr>
        <w:tabs>
          <w:tab w:val="num" w:pos="720"/>
        </w:tabs>
        <w:ind w:left="360"/>
      </w:pPr>
      <w:rPr>
        <w:rFonts w:ascii="Calibri" w:hAnsi="Calibri" w:cs="Calibri"/>
        <w:snapToGrid/>
        <w:spacing w:val="-2"/>
        <w:sz w:val="23"/>
        <w:szCs w:val="23"/>
      </w:rPr>
    </w:lvl>
  </w:abstractNum>
  <w:abstractNum w:abstractNumId="4">
    <w:nsid w:val="07605CD6"/>
    <w:multiLevelType w:val="singleLevel"/>
    <w:tmpl w:val="052BD44B"/>
    <w:lvl w:ilvl="0">
      <w:start w:val="2"/>
      <w:numFmt w:val="decimal"/>
      <w:lvlText w:val="%1."/>
      <w:lvlJc w:val="left"/>
      <w:pPr>
        <w:tabs>
          <w:tab w:val="num" w:pos="864"/>
        </w:tabs>
        <w:ind w:left="864" w:hanging="432"/>
      </w:pPr>
      <w:rPr>
        <w:rFonts w:ascii="Calibri" w:hAnsi="Calibri" w:cs="Calibri"/>
        <w:b/>
        <w:bCs/>
        <w:snapToGrid/>
        <w:color w:val="4F81BC"/>
        <w:sz w:val="26"/>
        <w:szCs w:val="26"/>
      </w:rPr>
    </w:lvl>
  </w:abstractNum>
  <w:num w:numId="1">
    <w:abstractNumId w:val="0"/>
  </w:num>
  <w:num w:numId="2">
    <w:abstractNumId w:val="3"/>
  </w:num>
  <w:num w:numId="3">
    <w:abstractNumId w:val="1"/>
  </w:num>
  <w:num w:numId="4">
    <w:abstractNumId w:val="1"/>
    <w:lvlOverride w:ilvl="0">
      <w:lvl w:ilvl="0">
        <w:numFmt w:val="upperRoman"/>
        <w:lvlText w:val="%1."/>
        <w:lvlJc w:val="left"/>
        <w:pPr>
          <w:tabs>
            <w:tab w:val="num" w:pos="1728"/>
          </w:tabs>
          <w:ind w:left="1728" w:hanging="576"/>
        </w:pPr>
        <w:rPr>
          <w:rFonts w:ascii="Calibri" w:hAnsi="Calibri" w:cs="Calibri"/>
          <w:snapToGrid/>
          <w:sz w:val="25"/>
          <w:szCs w:val="25"/>
        </w:rPr>
      </w:lvl>
    </w:lvlOverride>
  </w:num>
  <w:num w:numId="5">
    <w:abstractNumId w:val="1"/>
    <w:lvlOverride w:ilvl="0">
      <w:lvl w:ilvl="0">
        <w:numFmt w:val="upperRoman"/>
        <w:lvlText w:val="%1."/>
        <w:lvlJc w:val="left"/>
        <w:pPr>
          <w:tabs>
            <w:tab w:val="num" w:pos="1728"/>
          </w:tabs>
          <w:ind w:left="1584" w:hanging="432"/>
        </w:pPr>
        <w:rPr>
          <w:rFonts w:ascii="Calibri" w:hAnsi="Calibri" w:cs="Calibri"/>
          <w:snapToGrid/>
          <w:spacing w:val="-3"/>
          <w:sz w:val="25"/>
          <w:szCs w:val="25"/>
        </w:rPr>
      </w:lvl>
    </w:lvlOverride>
  </w:num>
  <w:num w:numId="6">
    <w:abstractNumId w:val="1"/>
    <w:lvlOverride w:ilvl="0">
      <w:lvl w:ilvl="0">
        <w:numFmt w:val="upperRoman"/>
        <w:lvlText w:val="%1."/>
        <w:lvlJc w:val="left"/>
        <w:pPr>
          <w:tabs>
            <w:tab w:val="num" w:pos="1584"/>
          </w:tabs>
          <w:ind w:left="1584" w:hanging="432"/>
        </w:pPr>
        <w:rPr>
          <w:rFonts w:ascii="Calibri" w:hAnsi="Calibri" w:cs="Calibri"/>
          <w:snapToGrid/>
          <w:spacing w:val="12"/>
          <w:sz w:val="25"/>
          <w:szCs w:val="25"/>
        </w:rPr>
      </w:lvl>
    </w:lvlOverride>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5D6"/>
    <w:rsid w:val="0005785B"/>
    <w:rsid w:val="000D7DD2"/>
    <w:rsid w:val="001E3128"/>
    <w:rsid w:val="00236B23"/>
    <w:rsid w:val="0028231E"/>
    <w:rsid w:val="002C40B2"/>
    <w:rsid w:val="004C1A22"/>
    <w:rsid w:val="005302C4"/>
    <w:rsid w:val="00542DCB"/>
    <w:rsid w:val="005E78D3"/>
    <w:rsid w:val="007C4DFE"/>
    <w:rsid w:val="00810D69"/>
    <w:rsid w:val="0084081D"/>
    <w:rsid w:val="008B1660"/>
    <w:rsid w:val="00A10C9C"/>
    <w:rsid w:val="00A405D6"/>
    <w:rsid w:val="00A50E2F"/>
    <w:rsid w:val="00A83A5F"/>
    <w:rsid w:val="00A87FBB"/>
    <w:rsid w:val="00AF6A3C"/>
    <w:rsid w:val="00B8489C"/>
    <w:rsid w:val="00B90F0B"/>
    <w:rsid w:val="00C12891"/>
    <w:rsid w:val="00CA1F5D"/>
    <w:rsid w:val="00CD4CE0"/>
    <w:rsid w:val="00CE0C66"/>
    <w:rsid w:val="00D37031"/>
    <w:rsid w:val="00D912A1"/>
    <w:rsid w:val="00F078DE"/>
    <w:rsid w:val="00F764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overflowPunct w:val="0"/>
      <w:spacing w:after="0" w:line="240" w:lineRule="auto"/>
      <w:textAlignment w:val="baseline"/>
    </w:pPr>
    <w:rPr>
      <w:rFonts w:ascii="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078DE"/>
    <w:rPr>
      <w:rFonts w:ascii="Tahoma" w:hAnsi="Tahoma" w:cs="Tahoma"/>
      <w:sz w:val="16"/>
      <w:szCs w:val="16"/>
    </w:rPr>
  </w:style>
  <w:style w:type="character" w:customStyle="1" w:styleId="TextodegloboCar">
    <w:name w:val="Texto de globo Car"/>
    <w:basedOn w:val="Fuentedeprrafopredeter"/>
    <w:link w:val="Textodeglobo"/>
    <w:uiPriority w:val="99"/>
    <w:semiHidden/>
    <w:rsid w:val="00F078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overflowPunct w:val="0"/>
      <w:spacing w:after="0" w:line="240" w:lineRule="auto"/>
      <w:textAlignment w:val="baseline"/>
    </w:pPr>
    <w:rPr>
      <w:rFonts w:ascii="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078DE"/>
    <w:rPr>
      <w:rFonts w:ascii="Tahoma" w:hAnsi="Tahoma" w:cs="Tahoma"/>
      <w:sz w:val="16"/>
      <w:szCs w:val="16"/>
    </w:rPr>
  </w:style>
  <w:style w:type="character" w:customStyle="1" w:styleId="TextodegloboCar">
    <w:name w:val="Texto de globo Car"/>
    <w:basedOn w:val="Fuentedeprrafopredeter"/>
    <w:link w:val="Textodeglobo"/>
    <w:uiPriority w:val="99"/>
    <w:semiHidden/>
    <w:rsid w:val="00F078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cj.eu/" TargetMode="External"/><Relationship Id="rId13" Type="http://schemas.openxmlformats.org/officeDocument/2006/relationships/hyperlink" Target="http://www.encj.eu/" TargetMode="External"/><Relationship Id="rId18" Type="http://schemas.openxmlformats.org/officeDocument/2006/relationships/hyperlink" Target="http://www.encj.eu/"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www.encj.eu/" TargetMode="External"/><Relationship Id="rId17" Type="http://schemas.openxmlformats.org/officeDocument/2006/relationships/hyperlink" Target="http://www.encj.eu/" TargetMode="External"/><Relationship Id="rId2" Type="http://schemas.openxmlformats.org/officeDocument/2006/relationships/styles" Target="styles.xml"/><Relationship Id="rId16" Type="http://schemas.openxmlformats.org/officeDocument/2006/relationships/hyperlink" Target="https://www.gov.uk/government/publications/the-7-principles-of-public-lif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encj.eu/" TargetMode="External"/><Relationship Id="rId5" Type="http://schemas.openxmlformats.org/officeDocument/2006/relationships/webSettings" Target="webSettings.xml"/><Relationship Id="rId15" Type="http://schemas.openxmlformats.org/officeDocument/2006/relationships/hyperlink" Target="http://www.encj.eu/" TargetMode="External"/><Relationship Id="rId10" Type="http://schemas.openxmlformats.org/officeDocument/2006/relationships/hyperlink" Target="http://www.encj.eu/" TargetMode="External"/><Relationship Id="rId19" Type="http://schemas.openxmlformats.org/officeDocument/2006/relationships/hyperlink" Target="http://www.encj.eu/" TargetMode="External"/><Relationship Id="rId4" Type="http://schemas.openxmlformats.org/officeDocument/2006/relationships/settings" Target="settings.xml"/><Relationship Id="rId9" Type="http://schemas.openxmlformats.org/officeDocument/2006/relationships/hyperlink" Target="http://www.encj.eu/" TargetMode="External"/><Relationship Id="rId14" Type="http://schemas.openxmlformats.org/officeDocument/2006/relationships/hyperlink" Target="http://www.encj.e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3256</Words>
  <Characters>18670</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Miguel García Moreno</dc:creator>
  <cp:lastModifiedBy>Victoria Ruiz</cp:lastModifiedBy>
  <cp:revision>2</cp:revision>
  <dcterms:created xsi:type="dcterms:W3CDTF">2016-07-14T11:01:00Z</dcterms:created>
  <dcterms:modified xsi:type="dcterms:W3CDTF">2016-07-14T11:01:00Z</dcterms:modified>
</cp:coreProperties>
</file>